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after="0" w:line="240" w:lineRule="auto"/>
        <w:rPr>
          <w:rFonts w:ascii="Times New Roman" w:hAnsi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</w:rPr>
        <w:drawing xmlns:a="http://schemas.openxmlformats.org/drawingml/2006/main">
          <wp:inline distT="0" distB="0" distL="0" distR="0">
            <wp:extent cx="3304380" cy="1286510"/>
            <wp:effectExtent l="0" t="0" r="0" b="0"/>
            <wp:docPr id="1073741827" name="officeArt object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Рисунок 1" descr="Рисунок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ПРОГРАММА ПРОВЕДЕНИЯ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ru-RU"/>
        </w:rPr>
        <w:t>соревнований по компетенции «Исследование новых веществ и материалов»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Финала Чемпионата 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ru-RU"/>
        </w:rPr>
        <w:t>по профессиональному мастерству «Профессионалы»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г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Санкт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Петербург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tbl>
      <w:tblPr>
        <w:tblW w:w="10485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145"/>
        <w:gridCol w:w="7340"/>
      </w:tblGrid>
      <w:tr>
        <w:tblPrEx>
          <w:shd w:val="clear" w:color="auto" w:fill="d0ddef"/>
        </w:tblPrEx>
        <w:trPr>
          <w:trHeight w:val="405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bdb7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Общая информация</w:t>
            </w:r>
          </w:p>
        </w:tc>
      </w:tr>
      <w:tr>
        <w:tblPrEx>
          <w:shd w:val="clear" w:color="auto" w:fill="d0ddef"/>
        </w:tblPrEx>
        <w:trPr>
          <w:trHeight w:val="402" w:hRule="atLeast"/>
        </w:trPr>
        <w:tc>
          <w:tcPr>
            <w:tcW w:type="dxa" w:w="31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Период проведения</w:t>
            </w:r>
          </w:p>
        </w:tc>
        <w:tc>
          <w:tcPr>
            <w:tcW w:type="dxa" w:w="7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29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ноября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- 05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декабря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31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Место проведения и адрес площадки</w:t>
            </w:r>
          </w:p>
        </w:tc>
        <w:tc>
          <w:tcPr>
            <w:tcW w:type="dxa" w:w="7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Санкт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-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Петербург</w:t>
            </w:r>
          </w:p>
        </w:tc>
      </w:tr>
      <w:tr>
        <w:tblPrEx>
          <w:shd w:val="clear" w:color="auto" w:fill="d0ddef"/>
        </w:tblPrEx>
        <w:trPr>
          <w:trHeight w:val="402" w:hRule="atLeast"/>
        </w:trPr>
        <w:tc>
          <w:tcPr>
            <w:tcW w:type="dxa" w:w="31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ФИО Главного эксперта</w:t>
            </w:r>
          </w:p>
        </w:tc>
        <w:tc>
          <w:tcPr>
            <w:tcW w:type="dxa" w:w="7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Власов Александр Анатольевич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31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Контакты Главного эксперта</w:t>
            </w:r>
          </w:p>
        </w:tc>
        <w:tc>
          <w:tcPr>
            <w:tcW w:type="dxa" w:w="7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8 923 314 74 87</w:t>
            </w:r>
          </w:p>
        </w:tc>
      </w:tr>
    </w:tbl>
    <w:p>
      <w:pPr>
        <w:pStyle w:val="Normal.0"/>
        <w:widowControl w:val="0"/>
        <w:spacing w:after="0" w:line="240" w:lineRule="auto"/>
        <w:ind w:left="108" w:hanging="108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tbl>
      <w:tblPr>
        <w:tblW w:w="10485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838"/>
        <w:gridCol w:w="8647"/>
      </w:tblGrid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ee7ab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-2 /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29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» ноября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09:30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Регистрация экспертов на площадке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сверка паспортов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10:00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инструктажа по охране труда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10.00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11.00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Централизованное обучение экспертов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12:00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экспертов с нормативной документацией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13:00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Обед</w:t>
            </w:r>
          </w:p>
        </w:tc>
      </w:tr>
      <w:tr>
        <w:tblPrEx>
          <w:shd w:val="clear" w:color="auto" w:fill="d0ddef"/>
        </w:tblPrEx>
        <w:trPr>
          <w:trHeight w:val="12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15:00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экспертов с конкурсной документацией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Внесение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30%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изменений в конкурсное задание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Обсуждение критериев оценки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загрузка схемы оценки в ЦСО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блокировка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16:00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специальной подготовки экспертов для обеспечения высокого качества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профессионализма и соответствия процесса оценки правилам и процедурам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15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16:30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Распределение ролей главным экспертом на чемпионате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оценивающие эксперты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эксперт ответственный за охрану труда на площадке проведения чемпионатного мероприятия по компетенции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эксперт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ответственный за взаимодействие с посетителями и представителями СМИ и др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9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18:00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Формирование оценочных групп в ЦСО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Подготовка ведомостей оценок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Ужин</w:t>
            </w:r>
          </w:p>
        </w:tc>
      </w:tr>
      <w:tr>
        <w:tblPrEx>
          <w:shd w:val="clear" w:color="auto" w:fill="d0ddef"/>
        </w:tblPrEx>
        <w:trPr>
          <w:trHeight w:val="360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ee7ab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-1 /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30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» ноября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Церемония открытия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ee7ab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-1 /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01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» декабря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15:30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Регистрация конкурсантов на площадке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сверка паспортов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16:00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инструктажа по охране труда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16:30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нормативной документацией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актуализированной конкурсной документацией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18:00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Жеребьевка рабочих мест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рабочими местами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тестирование оборудования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13:00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Обед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рабочими местами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тестирование оборудования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20:00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Ужин</w:t>
            </w:r>
          </w:p>
        </w:tc>
      </w:tr>
      <w:tr>
        <w:tblPrEx>
          <w:shd w:val="clear" w:color="auto" w:fill="d0ddef"/>
        </w:tblPrEx>
        <w:trPr>
          <w:trHeight w:val="360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2ef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 / 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02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декабря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2026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08:10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Прибытие на площадку экспертов и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08:10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инструктажа по охране труда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конкурсным заданием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Инструктаж Главным экспертом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13:00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модуль А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14:00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Обед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18:00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модуль Б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18:30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экспертами оценки работ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Занесение оценок в ЦСО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19:30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Ужин</w:t>
            </w:r>
          </w:p>
        </w:tc>
      </w:tr>
      <w:tr>
        <w:tblPrEx>
          <w:shd w:val="clear" w:color="auto" w:fill="d0ddef"/>
        </w:tblPrEx>
        <w:trPr>
          <w:trHeight w:val="360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2ef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 /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03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» декабря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08:10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Прибытие на площадку экспертов и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08:10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инструктажа по охране труда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конкурсным заданием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Инструктаж Главным экспертом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13:00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модуль В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14:00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Обед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модуль В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18:00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экспертами оценки работ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Занесение оценок в ЦСО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Ужин</w:t>
            </w:r>
          </w:p>
        </w:tc>
      </w:tr>
      <w:tr>
        <w:tblPrEx>
          <w:shd w:val="clear" w:color="auto" w:fill="d0ddef"/>
        </w:tblPrEx>
        <w:trPr>
          <w:trHeight w:val="360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2ef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  /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04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» декабря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08:10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Прибытие на площадку экспертов и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08:10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инструктажа по охране труда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конкурсным заданием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Инструктаж Главным экспертом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12:00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модуль Г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13:00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модуль Д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14:00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Обед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16:00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модуль Д</w:t>
            </w:r>
          </w:p>
        </w:tc>
      </w:tr>
      <w:tr>
        <w:tblPrEx>
          <w:shd w:val="clear" w:color="auto" w:fill="d0ddef"/>
        </w:tblPrEx>
        <w:trPr>
          <w:trHeight w:val="12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18:00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экспертами оценки работ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Занесение оценок в ЦСО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Блокировка оценок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Сверка ведомостей экспертами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наставниками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Подведение итогов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Ужин</w:t>
            </w:r>
          </w:p>
        </w:tc>
      </w:tr>
      <w:tr>
        <w:tblPrEx>
          <w:shd w:val="clear" w:color="auto" w:fill="d0ddef"/>
        </w:tblPrEx>
        <w:trPr>
          <w:trHeight w:val="360" w:hRule="atLeast"/>
        </w:trPr>
        <w:tc>
          <w:tcPr>
            <w:tcW w:type="dxa" w:w="104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2ef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  /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05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» декабря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2026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08:10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Прибытие на площадку экспертов и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08:10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08:30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Процедуры подготовки проведения командного модуля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инструктажа по охране труда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08:30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09:00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Ознакомление конкурсантов с конкурсным заданием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подписание протокола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Инструктаж с Главным экспертом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11:00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Выполнение конкурсантами задания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командный модуль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</w:p>
        </w:tc>
      </w:tr>
      <w:tr>
        <w:tblPrEx>
          <w:shd w:val="clear" w:color="auto" w:fill="d0ddef"/>
        </w:tblPrEx>
        <w:trPr>
          <w:trHeight w:val="12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Проведение экспертами оценки работ конкурсантов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Занесение оценок в ЦСО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Блокировка оценок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Сверка ведомостей экспертами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наставниками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Подведение итогов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Обед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19:00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Ужин</w:t>
            </w:r>
          </w:p>
        </w:tc>
      </w:tr>
      <w:tr>
        <w:tblPrEx>
          <w:shd w:val="clear" w:color="auto" w:fill="d0ddef"/>
        </w:tblPrEx>
        <w:trPr>
          <w:trHeight w:val="310" w:hRule="atLeast"/>
        </w:trPr>
        <w:tc>
          <w:tcPr>
            <w:tcW w:type="dxa" w:w="18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18:00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20:00</w:t>
            </w:r>
          </w:p>
        </w:tc>
        <w:tc>
          <w:tcPr>
            <w:tcW w:type="dxa" w:w="8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Церемония награждения</w:t>
            </w:r>
          </w:p>
        </w:tc>
      </w:tr>
    </w:tbl>
    <w:p>
      <w:pPr>
        <w:pStyle w:val="Normal.0"/>
        <w:widowControl w:val="0"/>
        <w:spacing w:after="0" w:line="240" w:lineRule="auto"/>
        <w:ind w:left="108" w:hanging="108"/>
      </w:pPr>
      <w:r>
        <w:rPr>
          <w:rFonts w:ascii="Times New Roman" w:cs="Times New Roman" w:hAnsi="Times New Roman" w:eastAsia="Times New Roman"/>
          <w:sz w:val="24"/>
          <w:szCs w:val="24"/>
        </w:rPr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720" w:right="720" w:bottom="720" w:left="720" w:header="624" w:footer="170"/>
      <w:pgNumType w:start="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clear" w:pos="4677"/>
        <w:tab w:val="clear" w:pos="9355"/>
      </w:tabs>
      <w:jc w:val="right"/>
    </w:pPr>
    <w:r>
      <w:rPr>
        <w:caps w:val="0"/>
        <w:smallCaps w:val="0"/>
      </w:rPr>
      <w:tab/>
    </w:r>
    <w:r>
      <w:rPr>
        <w:rFonts w:ascii="Times New Roman" w:hAnsi="Times New Roman"/>
        <w:caps w:val="1"/>
        <w:sz w:val="18"/>
        <w:szCs w:val="18"/>
        <w:shd w:val="nil" w:color="auto" w:fill="auto"/>
      </w:rPr>
      <w:fldChar w:fldCharType="begin" w:fldLock="0"/>
    </w:r>
    <w:r>
      <w:rPr>
        <w:rFonts w:ascii="Times New Roman" w:hAnsi="Times New Roman"/>
        <w:caps w:val="1"/>
        <w:sz w:val="18"/>
        <w:szCs w:val="18"/>
        <w:shd w:val="nil" w:color="auto" w:fill="auto"/>
      </w:rPr>
      <w:instrText xml:space="preserve"> PAGE </w:instrText>
    </w:r>
    <w:r>
      <w:rPr>
        <w:rFonts w:ascii="Times New Roman" w:hAnsi="Times New Roman"/>
        <w:caps w:val="1"/>
        <w:sz w:val="18"/>
        <w:szCs w:val="18"/>
        <w:shd w:val="nil" w:color="auto" w:fill="auto"/>
      </w:rPr>
      <w:fldChar w:fldCharType="separate" w:fldLock="0"/>
    </w:r>
    <w:r>
      <w:rPr>
        <w:rFonts w:ascii="Times New Roman" w:hAnsi="Times New Roman"/>
        <w:caps w:val="1"/>
        <w:sz w:val="18"/>
        <w:szCs w:val="18"/>
        <w:shd w:val="nil" w:color="auto" w:fill="auto"/>
      </w:rPr>
    </w:r>
    <w:r>
      <w:rPr>
        <w:rFonts w:ascii="Times New Roman" w:hAnsi="Times New Roman"/>
        <w:caps w:val="1"/>
        <w:sz w:val="18"/>
        <w:szCs w:val="18"/>
        <w:shd w:val="nil" w:color="auto" w:fill="auto"/>
      </w:rPr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Прямоугольник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6" name="officeArt object" descr="Прямоугольник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7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