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9"/>
        <w:tblW w:w="963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19"/>
        <w:gridCol w:w="4220"/>
      </w:tblGrid>
      <w:tr w14:paraId="6A02E8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19" w:type="dxa"/>
          </w:tcPr>
          <w:p w14:paraId="514FDEF0">
            <w:pPr>
              <w:pStyle w:val="14"/>
              <w:rPr>
                <w:sz w:val="30"/>
                <w:lang w:eastAsia="ru-RU"/>
              </w:rPr>
            </w:pPr>
            <w:r>
              <w:rPr>
                <w:b/>
                <w:lang w:eastAsia="ru-RU"/>
              </w:rPr>
              <w:drawing>
                <wp:inline distT="0" distB="0" distL="0" distR="0">
                  <wp:extent cx="3303905" cy="1286510"/>
                  <wp:effectExtent l="0" t="0" r="0" b="8890"/>
                  <wp:docPr id="1" name="Рисунок 1" descr="Изображение выглядит как текст, Шрифт, логотип, График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Изображение выглядит как текст, Шрифт, логотип, Графика&#10;&#10;Автоматически созданное описание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0" w:type="dxa"/>
          </w:tcPr>
          <w:p w14:paraId="009F7E0B">
            <w:pPr>
              <w:spacing w:after="0" w:line="360" w:lineRule="auto"/>
              <w:ind w:left="290"/>
              <w:jc w:val="center"/>
              <w:rPr>
                <w:rFonts w:ascii="Times New Roman" w:hAnsi="Times New Roman" w:eastAsia="Times New Roman" w:cs="Times New Roman"/>
                <w:sz w:val="3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72"/>
                <w:szCs w:val="72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14605</wp:posOffset>
                  </wp:positionH>
                  <wp:positionV relativeFrom="paragraph">
                    <wp:posOffset>229870</wp:posOffset>
                  </wp:positionV>
                  <wp:extent cx="2456180" cy="619760"/>
                  <wp:effectExtent l="0" t="0" r="0" b="0"/>
                  <wp:wrapNone/>
                  <wp:docPr id="1910753742" name="Рисунок 1" descr="Изображение выглядит как Шрифт, текст, снимок экрана, График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0753742" name="Рисунок 1" descr="Изображение выглядит как Шрифт, текст, снимок экрана, Графика&#10;&#10;Автоматически созданное описание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2806" cy="6240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23FD8D7F">
      <w:pPr>
        <w:spacing w:after="0" w:line="360" w:lineRule="auto"/>
        <w:jc w:val="right"/>
        <w:rPr>
          <w:rFonts w:ascii="Times New Roman" w:hAnsi="Times New Roman" w:cs="Times New Roman"/>
        </w:rPr>
      </w:pPr>
    </w:p>
    <w:sdt>
      <w:sdtPr>
        <w:rPr>
          <w:rFonts w:ascii="Times New Roman" w:hAnsi="Times New Roman" w:cs="Times New Roman"/>
        </w:rPr>
        <w:id w:val="326794676"/>
        <w:docPartObj>
          <w:docPartGallery w:val="autotext"/>
        </w:docPartObj>
      </w:sdtPr>
      <w:sdtEndPr>
        <w:rPr>
          <w:rFonts w:eastAsia="Arial Unicode MS" w:asciiTheme="minorHAnsi" w:hAnsiTheme="minorHAnsi" w:cstheme="minorBidi"/>
          <w:sz w:val="40"/>
          <w:szCs w:val="40"/>
          <w:u w:val="single"/>
        </w:rPr>
      </w:sdtEndPr>
      <w:sdtContent>
        <w:p w14:paraId="41BC12A3">
          <w:pPr>
            <w:spacing w:after="0" w:line="360" w:lineRule="auto"/>
            <w:jc w:val="right"/>
            <w:rPr>
              <w:rFonts w:ascii="Times New Roman" w:hAnsi="Times New Roman" w:cs="Times New Roman"/>
            </w:rPr>
          </w:pPr>
        </w:p>
        <w:p w14:paraId="7AA5C143">
          <w:pPr>
            <w:spacing w:after="0" w:line="360" w:lineRule="auto"/>
            <w:jc w:val="right"/>
            <w:rPr>
              <w:rFonts w:ascii="Times New Roman" w:hAnsi="Times New Roman" w:eastAsia="Arial Unicode MS" w:cs="Times New Roman"/>
              <w:sz w:val="72"/>
              <w:szCs w:val="72"/>
            </w:rPr>
          </w:pPr>
        </w:p>
        <w:p w14:paraId="36910BF7">
          <w:pPr>
            <w:spacing w:after="0" w:line="360" w:lineRule="auto"/>
            <w:jc w:val="right"/>
            <w:rPr>
              <w:rFonts w:ascii="Times New Roman" w:hAnsi="Times New Roman" w:eastAsia="Arial Unicode MS" w:cs="Times New Roman"/>
              <w:sz w:val="72"/>
              <w:szCs w:val="72"/>
            </w:rPr>
          </w:pPr>
        </w:p>
        <w:p w14:paraId="492F98CE">
          <w:pPr>
            <w:spacing w:after="0" w:line="240" w:lineRule="auto"/>
            <w:jc w:val="center"/>
            <w:rPr>
              <w:rFonts w:ascii="Times New Roman" w:hAnsi="Times New Roman" w:eastAsia="Arial Unicode MS" w:cs="Times New Roman"/>
              <w:b/>
              <w:sz w:val="40"/>
              <w:szCs w:val="40"/>
            </w:rPr>
          </w:pPr>
          <w:r>
            <w:rPr>
              <w:rFonts w:ascii="Times New Roman" w:hAnsi="Times New Roman" w:eastAsia="Arial Unicode MS" w:cs="Times New Roman"/>
              <w:b/>
              <w:sz w:val="40"/>
              <w:szCs w:val="40"/>
            </w:rPr>
            <w:t>КОНКУРСНОЕ ЗАДАНИЕ КОМПЕТЕНЦИИ</w:t>
          </w:r>
        </w:p>
        <w:p w14:paraId="7A314ED8">
          <w:pPr>
            <w:spacing w:after="0" w:line="360" w:lineRule="auto"/>
            <w:jc w:val="center"/>
            <w:rPr>
              <w:rFonts w:ascii="Times New Roman" w:hAnsi="Times New Roman" w:eastAsia="Arial Unicode MS" w:cs="Times New Roman"/>
              <w:b/>
              <w:sz w:val="40"/>
              <w:szCs w:val="40"/>
            </w:rPr>
          </w:pPr>
          <w:r>
            <w:rPr>
              <w:rFonts w:ascii="Times New Roman" w:hAnsi="Times New Roman" w:eastAsia="Arial Unicode MS" w:cs="Times New Roman"/>
              <w:b/>
              <w:sz w:val="40"/>
              <w:szCs w:val="40"/>
            </w:rPr>
            <w:t>«Аналитик транспортных данных»</w:t>
          </w:r>
        </w:p>
        <w:p w14:paraId="18726F8E">
          <w:pPr>
            <w:spacing w:after="0" w:line="360" w:lineRule="auto"/>
            <w:jc w:val="center"/>
            <w:rPr>
              <w:rFonts w:ascii="Times New Roman" w:hAnsi="Times New Roman" w:eastAsia="Arial Unicode MS" w:cs="Times New Roman"/>
              <w:b/>
              <w:sz w:val="40"/>
              <w:szCs w:val="40"/>
            </w:rPr>
          </w:pPr>
          <w:r>
            <w:rPr>
              <w:rFonts w:ascii="Times New Roman" w:hAnsi="Times New Roman" w:eastAsia="Arial Unicode MS" w:cs="Times New Roman"/>
              <w:b/>
              <w:sz w:val="40"/>
              <w:szCs w:val="40"/>
            </w:rPr>
            <w:t>Финала чемпионата высоких технологий в 2026 г.</w:t>
          </w:r>
        </w:p>
        <w:p w14:paraId="03FD5D07">
          <w:pPr>
            <w:spacing w:after="0" w:line="360" w:lineRule="auto"/>
            <w:jc w:val="center"/>
            <w:rPr>
              <w:rFonts w:ascii="Times New Roman" w:hAnsi="Times New Roman" w:cs="Times New Roman"/>
              <w:b/>
              <w:lang w:bidi="en-US"/>
            </w:rPr>
          </w:pPr>
          <w:r>
            <w:rPr>
              <w:rFonts w:ascii="Times New Roman" w:hAnsi="Times New Roman" w:eastAsia="Arial Unicode MS" w:cs="Times New Roman"/>
              <w:b/>
              <w:sz w:val="40"/>
              <w:szCs w:val="40"/>
            </w:rPr>
            <w:t>г. Великий Новгород</w:t>
          </w:r>
        </w:p>
        <w:p w14:paraId="3C07D436">
          <w:pPr>
            <w:spacing w:after="0" w:line="360" w:lineRule="auto"/>
            <w:jc w:val="center"/>
            <w:rPr>
              <w:rFonts w:ascii="Times New Roman" w:hAnsi="Times New Roman" w:eastAsia="Arial Unicode MS" w:cs="Times New Roman"/>
              <w:sz w:val="40"/>
              <w:szCs w:val="40"/>
              <w:u w:val="single"/>
            </w:rPr>
          </w:pPr>
        </w:p>
      </w:sdtContent>
    </w:sdt>
    <w:p w14:paraId="1D767E92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D1453FB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30C16A83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153AA5C0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5A414EE5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599EA3CE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5499C478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0C7A35C5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B3FC7A2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01CD839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139C28CC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58B4DF54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38C7D762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57321B43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07D5753">
      <w:pPr>
        <w:jc w:val="center"/>
        <w:rPr>
          <w:rFonts w:ascii="Times New Roman" w:hAnsi="Times New Roman" w:cs="Times New Roman"/>
          <w:sz w:val="28"/>
          <w:szCs w:val="28"/>
          <w:lang w:bidi="en-US"/>
        </w:rPr>
        <w:sectPr>
          <w:footerReference r:id="rId5" w:type="default"/>
          <w:pgSz w:w="11906" w:h="16838"/>
          <w:pgMar w:top="1134" w:right="850" w:bottom="1134" w:left="1701" w:header="0" w:footer="567" w:gutter="0"/>
          <w:pgNumType w:start="1"/>
          <w:cols w:space="708" w:num="1"/>
          <w:titlePg/>
          <w:docGrid w:linePitch="360" w:charSpace="0"/>
        </w:sectPr>
      </w:pPr>
      <w:r>
        <w:rPr>
          <w:rFonts w:ascii="Times New Roman" w:hAnsi="Times New Roman" w:cs="Times New Roman"/>
          <w:sz w:val="28"/>
          <w:szCs w:val="28"/>
          <w:lang w:bidi="en-US"/>
        </w:rPr>
        <w:t>2026 г.</w:t>
      </w:r>
    </w:p>
    <w:p w14:paraId="29303269">
      <w:pPr>
        <w:pStyle w:val="82"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>Конкурсное задание разработано экспертным сообществом и утверждено Менеджером компетенции, в котором установлены нижеследующие правила и необходимые требования владения профессиональными навыками для участия в соревнованиях по профессиональному мастерству.</w:t>
      </w:r>
    </w:p>
    <w:p w14:paraId="63E6DC4D">
      <w:pPr>
        <w:pStyle w:val="82"/>
        <w:shd w:val="clear" w:color="auto" w:fill="auto"/>
        <w:spacing w:line="360" w:lineRule="auto"/>
        <w:ind w:firstLine="0"/>
        <w:rPr>
          <w:rFonts w:ascii="Times New Roman" w:hAnsi="Times New Roman" w:eastAsia="Times New Roman" w:cs="Times New Roman"/>
          <w:szCs w:val="24"/>
        </w:rPr>
      </w:pPr>
    </w:p>
    <w:p w14:paraId="14F049E3">
      <w:pPr>
        <w:pStyle w:val="49"/>
        <w:numPr>
          <w:ilvl w:val="0"/>
          <w:numId w:val="0"/>
        </w:numPr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Конкурсное задание включает в себя следующие разделы:</w:t>
      </w:r>
    </w:p>
    <w:sdt>
      <w:sdtPr>
        <w:rPr>
          <w:rFonts w:ascii="Times New Roman" w:hAnsi="Times New Roman" w:eastAsiaTheme="minorHAnsi" w:cstheme="minorBidi"/>
          <w:b w:val="0"/>
          <w:bCs w:val="0"/>
          <w:color w:val="auto"/>
          <w:sz w:val="22"/>
          <w:szCs w:val="22"/>
          <w:lang w:eastAsia="en-US"/>
        </w:rPr>
        <w:id w:val="-657304374"/>
        <w:docPartObj>
          <w:docPartGallery w:val="Table of Contents"/>
          <w:docPartUnique/>
        </w:docPartObj>
      </w:sdtPr>
      <w:sdtEndPr>
        <w:rPr>
          <w:rFonts w:ascii="Times New Roman" w:hAnsi="Times New Roman" w:cs="Times New Roman" w:eastAsiaTheme="minorHAnsi"/>
          <w:b w:val="0"/>
          <w:bCs w:val="0"/>
          <w:color w:val="auto"/>
          <w:sz w:val="28"/>
          <w:szCs w:val="28"/>
          <w:lang w:eastAsia="en-US"/>
        </w:rPr>
      </w:sdtEndPr>
      <w:sdtContent>
        <w:p w14:paraId="7F37035E">
          <w:pPr>
            <w:pStyle w:val="63"/>
            <w:rPr>
              <w:rFonts w:ascii="Times New Roman" w:hAnsi="Times New Roman"/>
              <w:color w:val="auto"/>
            </w:rPr>
          </w:pPr>
        </w:p>
        <w:p w14:paraId="4B54390B">
          <w:pPr>
            <w:pStyle w:val="30"/>
            <w:rPr>
              <w:rFonts w:ascii="Times New Roman" w:hAnsi="Times New Roman" w:eastAsiaTheme="minorEastAsia"/>
              <w:bCs w:val="0"/>
              <w:sz w:val="28"/>
              <w:lang w:val="ru-RU" w:eastAsia="ru-RU"/>
            </w:rPr>
          </w:pPr>
          <w:r>
            <w:rPr>
              <w:rFonts w:ascii="Times New Roman" w:hAnsi="Times New Roman"/>
              <w:sz w:val="28"/>
            </w:rPr>
            <w:fldChar w:fldCharType="begin"/>
          </w:r>
          <w:r>
            <w:rPr>
              <w:rFonts w:ascii="Times New Roman" w:hAnsi="Times New Roman"/>
              <w:sz w:val="28"/>
            </w:rPr>
            <w:instrText xml:space="preserve"> TOC \o "1-3" \h \z \u </w:instrText>
          </w:r>
          <w:r>
            <w:rPr>
              <w:rFonts w:ascii="Times New Roman" w:hAnsi="Times New Roman"/>
              <w:sz w:val="28"/>
            </w:rPr>
            <w:fldChar w:fldCharType="separate"/>
          </w:r>
          <w:r>
            <w:fldChar w:fldCharType="begin"/>
          </w:r>
          <w:r>
            <w:instrText xml:space="preserve"> HYPERLINK \l "_Toc229998022" </w:instrText>
          </w:r>
          <w:r>
            <w:fldChar w:fldCharType="separate"/>
          </w:r>
          <w:r>
            <w:rPr>
              <w:rStyle w:val="26"/>
              <w:rFonts w:ascii="Times New Roman" w:hAnsi="Times New Roman"/>
              <w:sz w:val="28"/>
              <w:lang w:val="ru-RU"/>
            </w:rPr>
            <w:t>1.ОСНОВНЫЕ ТРЕБОВАНИЯ КОМПЕТЕНЦИИ</w:t>
          </w:r>
          <w:r>
            <w:rPr>
              <w:rFonts w:ascii="Times New Roman" w:hAnsi="Times New Roman"/>
              <w:sz w:val="28"/>
            </w:rPr>
            <w:tab/>
          </w:r>
          <w:r>
            <w:rPr>
              <w:rFonts w:ascii="Times New Roman" w:hAnsi="Times New Roman"/>
              <w:sz w:val="28"/>
            </w:rPr>
            <w:fldChar w:fldCharType="begin"/>
          </w:r>
          <w:r>
            <w:rPr>
              <w:rFonts w:ascii="Times New Roman" w:hAnsi="Times New Roman"/>
              <w:sz w:val="28"/>
            </w:rPr>
            <w:instrText xml:space="preserve"> PAGEREF _Toc229998022 \h </w:instrText>
          </w:r>
          <w:r>
            <w:rPr>
              <w:rFonts w:ascii="Times New Roman" w:hAnsi="Times New Roman"/>
              <w:sz w:val="28"/>
            </w:rPr>
            <w:fldChar w:fldCharType="separate"/>
          </w:r>
          <w:r>
            <w:rPr>
              <w:rFonts w:ascii="Times New Roman" w:hAnsi="Times New Roman"/>
              <w:sz w:val="28"/>
            </w:rPr>
            <w:t>4</w:t>
          </w:r>
          <w:r>
            <w:rPr>
              <w:rFonts w:ascii="Times New Roman" w:hAnsi="Times New Roman"/>
              <w:sz w:val="28"/>
            </w:rPr>
            <w:fldChar w:fldCharType="end"/>
          </w:r>
          <w:r>
            <w:rPr>
              <w:rFonts w:ascii="Times New Roman" w:hAnsi="Times New Roman"/>
              <w:sz w:val="28"/>
            </w:rPr>
            <w:fldChar w:fldCharType="end"/>
          </w:r>
        </w:p>
        <w:p w14:paraId="3E4EFF27">
          <w:pPr>
            <w:pStyle w:val="31"/>
            <w:rPr>
              <w:rFonts w:eastAsiaTheme="minorEastAsia"/>
              <w:sz w:val="28"/>
              <w:szCs w:val="28"/>
            </w:rPr>
          </w:pPr>
          <w:r>
            <w:fldChar w:fldCharType="begin"/>
          </w:r>
          <w:r>
            <w:instrText xml:space="preserve"> HYPERLINK \l "_Toc229998023" </w:instrText>
          </w:r>
          <w:r>
            <w:fldChar w:fldCharType="separate"/>
          </w:r>
          <w:r>
            <w:rPr>
              <w:rStyle w:val="26"/>
              <w:sz w:val="28"/>
              <w:szCs w:val="28"/>
            </w:rPr>
            <w:t>1.1. Общие сведения о требованиях компетенции</w:t>
          </w:r>
          <w:r>
            <w:rPr>
              <w:sz w:val="28"/>
              <w:szCs w:val="28"/>
            </w:rPr>
            <w:tab/>
          </w:r>
          <w:r>
            <w:rPr>
              <w:sz w:val="28"/>
              <w:szCs w:val="28"/>
            </w:rPr>
            <w:fldChar w:fldCharType="begin"/>
          </w:r>
          <w:r>
            <w:rPr>
              <w:sz w:val="28"/>
              <w:szCs w:val="28"/>
            </w:rPr>
            <w:instrText xml:space="preserve"> PAGEREF _Toc229998023 \h </w:instrText>
          </w:r>
          <w:r>
            <w:rPr>
              <w:sz w:val="28"/>
              <w:szCs w:val="28"/>
            </w:rPr>
            <w:fldChar w:fldCharType="separate"/>
          </w:r>
          <w:r>
            <w:rPr>
              <w:sz w:val="28"/>
              <w:szCs w:val="28"/>
            </w:rPr>
            <w:t>4</w:t>
          </w:r>
          <w:r>
            <w:rPr>
              <w:sz w:val="28"/>
              <w:szCs w:val="28"/>
            </w:rPr>
            <w:fldChar w:fldCharType="end"/>
          </w:r>
          <w:r>
            <w:rPr>
              <w:sz w:val="28"/>
              <w:szCs w:val="28"/>
            </w:rPr>
            <w:fldChar w:fldCharType="end"/>
          </w:r>
        </w:p>
        <w:p w14:paraId="4AA3B080">
          <w:pPr>
            <w:pStyle w:val="31"/>
            <w:rPr>
              <w:rFonts w:eastAsiaTheme="minorEastAsia"/>
              <w:sz w:val="28"/>
              <w:szCs w:val="28"/>
            </w:rPr>
          </w:pPr>
          <w:r>
            <w:fldChar w:fldCharType="begin"/>
          </w:r>
          <w:r>
            <w:instrText xml:space="preserve"> HYPERLINK \l "_Toc229998024" </w:instrText>
          </w:r>
          <w:r>
            <w:fldChar w:fldCharType="separate"/>
          </w:r>
          <w:r>
            <w:rPr>
              <w:rStyle w:val="26"/>
              <w:sz w:val="28"/>
              <w:szCs w:val="28"/>
            </w:rPr>
            <w:t>1.2. Перечень профессиональных задач специалиста по компетенции «Аналитик транспортных данных»</w:t>
          </w:r>
          <w:r>
            <w:rPr>
              <w:sz w:val="28"/>
              <w:szCs w:val="28"/>
            </w:rPr>
            <w:tab/>
          </w:r>
          <w:r>
            <w:rPr>
              <w:sz w:val="28"/>
              <w:szCs w:val="28"/>
            </w:rPr>
            <w:fldChar w:fldCharType="begin"/>
          </w:r>
          <w:r>
            <w:rPr>
              <w:sz w:val="28"/>
              <w:szCs w:val="28"/>
            </w:rPr>
            <w:instrText xml:space="preserve"> PAGEREF _Toc229998024 \h </w:instrText>
          </w:r>
          <w:r>
            <w:rPr>
              <w:sz w:val="28"/>
              <w:szCs w:val="28"/>
            </w:rPr>
            <w:fldChar w:fldCharType="separate"/>
          </w:r>
          <w:r>
            <w:rPr>
              <w:sz w:val="28"/>
              <w:szCs w:val="28"/>
            </w:rPr>
            <w:t>4</w:t>
          </w:r>
          <w:r>
            <w:rPr>
              <w:sz w:val="28"/>
              <w:szCs w:val="28"/>
            </w:rPr>
            <w:fldChar w:fldCharType="end"/>
          </w:r>
          <w:r>
            <w:rPr>
              <w:sz w:val="28"/>
              <w:szCs w:val="28"/>
            </w:rPr>
            <w:fldChar w:fldCharType="end"/>
          </w:r>
        </w:p>
        <w:p w14:paraId="47FB98B4">
          <w:pPr>
            <w:pStyle w:val="31"/>
            <w:rPr>
              <w:rFonts w:eastAsiaTheme="minorEastAsia"/>
              <w:sz w:val="28"/>
              <w:szCs w:val="28"/>
            </w:rPr>
          </w:pPr>
          <w:r>
            <w:fldChar w:fldCharType="begin"/>
          </w:r>
          <w:r>
            <w:instrText xml:space="preserve"> HYPERLINK \l "_Toc229998025" </w:instrText>
          </w:r>
          <w:r>
            <w:fldChar w:fldCharType="separate"/>
          </w:r>
          <w:r>
            <w:rPr>
              <w:rStyle w:val="26"/>
              <w:sz w:val="28"/>
              <w:szCs w:val="28"/>
            </w:rPr>
            <w:t>1.3. Требования к схеме оценки</w:t>
          </w:r>
          <w:r>
            <w:rPr>
              <w:sz w:val="28"/>
              <w:szCs w:val="28"/>
            </w:rPr>
            <w:tab/>
          </w:r>
          <w:r>
            <w:rPr>
              <w:sz w:val="28"/>
              <w:szCs w:val="28"/>
            </w:rPr>
            <w:fldChar w:fldCharType="begin"/>
          </w:r>
          <w:r>
            <w:rPr>
              <w:sz w:val="28"/>
              <w:szCs w:val="28"/>
            </w:rPr>
            <w:instrText xml:space="preserve"> PAGEREF _Toc229998025 \h </w:instrText>
          </w:r>
          <w:r>
            <w:rPr>
              <w:sz w:val="28"/>
              <w:szCs w:val="28"/>
            </w:rPr>
            <w:fldChar w:fldCharType="separate"/>
          </w:r>
          <w:r>
            <w:rPr>
              <w:sz w:val="28"/>
              <w:szCs w:val="28"/>
            </w:rPr>
            <w:t>7</w:t>
          </w:r>
          <w:r>
            <w:rPr>
              <w:sz w:val="28"/>
              <w:szCs w:val="28"/>
            </w:rPr>
            <w:fldChar w:fldCharType="end"/>
          </w:r>
          <w:r>
            <w:rPr>
              <w:sz w:val="28"/>
              <w:szCs w:val="28"/>
            </w:rPr>
            <w:fldChar w:fldCharType="end"/>
          </w:r>
        </w:p>
        <w:p w14:paraId="60328012">
          <w:pPr>
            <w:pStyle w:val="31"/>
            <w:rPr>
              <w:rFonts w:eastAsiaTheme="minorEastAsia"/>
              <w:sz w:val="28"/>
              <w:szCs w:val="28"/>
            </w:rPr>
          </w:pPr>
          <w:r>
            <w:fldChar w:fldCharType="begin"/>
          </w:r>
          <w:r>
            <w:instrText xml:space="preserve"> HYPERLINK \l "_Toc229998026" </w:instrText>
          </w:r>
          <w:r>
            <w:fldChar w:fldCharType="separate"/>
          </w:r>
          <w:r>
            <w:rPr>
              <w:rStyle w:val="26"/>
              <w:sz w:val="28"/>
              <w:szCs w:val="28"/>
            </w:rPr>
            <w:t>1.4. Спецификация оценки компетенции</w:t>
          </w:r>
          <w:r>
            <w:rPr>
              <w:sz w:val="28"/>
              <w:szCs w:val="28"/>
            </w:rPr>
            <w:tab/>
          </w:r>
          <w:r>
            <w:rPr>
              <w:sz w:val="28"/>
              <w:szCs w:val="28"/>
            </w:rPr>
            <w:fldChar w:fldCharType="begin"/>
          </w:r>
          <w:r>
            <w:rPr>
              <w:sz w:val="28"/>
              <w:szCs w:val="28"/>
            </w:rPr>
            <w:instrText xml:space="preserve"> PAGEREF _Toc229998026 \h </w:instrText>
          </w:r>
          <w:r>
            <w:rPr>
              <w:sz w:val="28"/>
              <w:szCs w:val="28"/>
            </w:rPr>
            <w:fldChar w:fldCharType="separate"/>
          </w:r>
          <w:r>
            <w:rPr>
              <w:sz w:val="28"/>
              <w:szCs w:val="28"/>
            </w:rPr>
            <w:t>7</w:t>
          </w:r>
          <w:r>
            <w:rPr>
              <w:sz w:val="28"/>
              <w:szCs w:val="28"/>
            </w:rPr>
            <w:fldChar w:fldCharType="end"/>
          </w:r>
          <w:r>
            <w:rPr>
              <w:sz w:val="28"/>
              <w:szCs w:val="28"/>
            </w:rPr>
            <w:fldChar w:fldCharType="end"/>
          </w:r>
        </w:p>
        <w:p w14:paraId="1C46D7EE">
          <w:pPr>
            <w:pStyle w:val="31"/>
            <w:rPr>
              <w:rFonts w:eastAsiaTheme="minorEastAsia"/>
              <w:sz w:val="28"/>
              <w:szCs w:val="28"/>
            </w:rPr>
          </w:pPr>
          <w:r>
            <w:fldChar w:fldCharType="begin"/>
          </w:r>
          <w:r>
            <w:instrText xml:space="preserve"> HYPERLINK \l "_Toc229998027" </w:instrText>
          </w:r>
          <w:r>
            <w:fldChar w:fldCharType="separate"/>
          </w:r>
          <w:r>
            <w:rPr>
              <w:rStyle w:val="26"/>
              <w:sz w:val="28"/>
              <w:szCs w:val="28"/>
            </w:rPr>
            <w:t>1.5. Содержание конкурсного задания</w:t>
          </w:r>
          <w:r>
            <w:rPr>
              <w:sz w:val="28"/>
              <w:szCs w:val="28"/>
            </w:rPr>
            <w:tab/>
          </w:r>
          <w:r>
            <w:rPr>
              <w:sz w:val="28"/>
              <w:szCs w:val="28"/>
            </w:rPr>
            <w:fldChar w:fldCharType="begin"/>
          </w:r>
          <w:r>
            <w:rPr>
              <w:sz w:val="28"/>
              <w:szCs w:val="28"/>
            </w:rPr>
            <w:instrText xml:space="preserve"> PAGEREF _Toc229998027 \h </w:instrText>
          </w:r>
          <w:r>
            <w:rPr>
              <w:sz w:val="28"/>
              <w:szCs w:val="28"/>
            </w:rPr>
            <w:fldChar w:fldCharType="separate"/>
          </w:r>
          <w:r>
            <w:rPr>
              <w:sz w:val="28"/>
              <w:szCs w:val="28"/>
            </w:rPr>
            <w:t>8</w:t>
          </w:r>
          <w:r>
            <w:rPr>
              <w:sz w:val="28"/>
              <w:szCs w:val="28"/>
            </w:rPr>
            <w:fldChar w:fldCharType="end"/>
          </w:r>
          <w:r>
            <w:rPr>
              <w:sz w:val="28"/>
              <w:szCs w:val="28"/>
            </w:rPr>
            <w:fldChar w:fldCharType="end"/>
          </w:r>
        </w:p>
        <w:p w14:paraId="7253E767">
          <w:pPr>
            <w:pStyle w:val="31"/>
            <w:rPr>
              <w:rFonts w:eastAsiaTheme="minorEastAsia"/>
              <w:sz w:val="28"/>
              <w:szCs w:val="28"/>
            </w:rPr>
          </w:pPr>
          <w:r>
            <w:fldChar w:fldCharType="begin"/>
          </w:r>
          <w:r>
            <w:instrText xml:space="preserve"> HYPERLINK \l "_Toc229998028" </w:instrText>
          </w:r>
          <w:r>
            <w:fldChar w:fldCharType="separate"/>
          </w:r>
          <w:r>
            <w:rPr>
              <w:rStyle w:val="26"/>
              <w:sz w:val="28"/>
              <w:szCs w:val="28"/>
            </w:rPr>
            <w:t>1.5.1. Разработка/выбор конкурсного задания</w:t>
          </w:r>
          <w:r>
            <w:rPr>
              <w:sz w:val="28"/>
              <w:szCs w:val="28"/>
            </w:rPr>
            <w:tab/>
          </w:r>
          <w:r>
            <w:rPr>
              <w:sz w:val="28"/>
              <w:szCs w:val="28"/>
            </w:rPr>
            <w:fldChar w:fldCharType="begin"/>
          </w:r>
          <w:r>
            <w:rPr>
              <w:sz w:val="28"/>
              <w:szCs w:val="28"/>
            </w:rPr>
            <w:instrText xml:space="preserve"> PAGEREF _Toc229998028 \h </w:instrText>
          </w:r>
          <w:r>
            <w:rPr>
              <w:sz w:val="28"/>
              <w:szCs w:val="28"/>
            </w:rPr>
            <w:fldChar w:fldCharType="separate"/>
          </w:r>
          <w:r>
            <w:rPr>
              <w:sz w:val="28"/>
              <w:szCs w:val="28"/>
            </w:rPr>
            <w:t>8</w:t>
          </w:r>
          <w:r>
            <w:rPr>
              <w:sz w:val="28"/>
              <w:szCs w:val="28"/>
            </w:rPr>
            <w:fldChar w:fldCharType="end"/>
          </w:r>
          <w:r>
            <w:rPr>
              <w:sz w:val="28"/>
              <w:szCs w:val="28"/>
            </w:rPr>
            <w:fldChar w:fldCharType="end"/>
          </w:r>
        </w:p>
        <w:p w14:paraId="1EFCF4AF">
          <w:pPr>
            <w:pStyle w:val="31"/>
            <w:rPr>
              <w:rFonts w:eastAsiaTheme="minorEastAsia"/>
              <w:sz w:val="28"/>
              <w:szCs w:val="28"/>
            </w:rPr>
          </w:pPr>
          <w:r>
            <w:fldChar w:fldCharType="begin"/>
          </w:r>
          <w:r>
            <w:instrText xml:space="preserve"> HYPERLINK \l "_Toc229998029" </w:instrText>
          </w:r>
          <w:r>
            <w:fldChar w:fldCharType="separate"/>
          </w:r>
          <w:r>
            <w:rPr>
              <w:rStyle w:val="26"/>
              <w:sz w:val="28"/>
              <w:szCs w:val="28"/>
            </w:rPr>
            <w:t>1.5.2. Структура модулей конкурсного задания</w:t>
          </w:r>
          <w:r>
            <w:rPr>
              <w:sz w:val="28"/>
              <w:szCs w:val="28"/>
            </w:rPr>
            <w:tab/>
          </w:r>
          <w:r>
            <w:rPr>
              <w:sz w:val="28"/>
              <w:szCs w:val="28"/>
            </w:rPr>
            <w:fldChar w:fldCharType="begin"/>
          </w:r>
          <w:r>
            <w:rPr>
              <w:sz w:val="28"/>
              <w:szCs w:val="28"/>
            </w:rPr>
            <w:instrText xml:space="preserve"> PAGEREF _Toc229998029 \h </w:instrText>
          </w:r>
          <w:r>
            <w:rPr>
              <w:sz w:val="28"/>
              <w:szCs w:val="28"/>
            </w:rPr>
            <w:fldChar w:fldCharType="separate"/>
          </w:r>
          <w:r>
            <w:rPr>
              <w:sz w:val="28"/>
              <w:szCs w:val="28"/>
            </w:rPr>
            <w:t>9</w:t>
          </w:r>
          <w:r>
            <w:rPr>
              <w:sz w:val="28"/>
              <w:szCs w:val="28"/>
            </w:rPr>
            <w:fldChar w:fldCharType="end"/>
          </w:r>
          <w:r>
            <w:rPr>
              <w:sz w:val="28"/>
              <w:szCs w:val="28"/>
            </w:rPr>
            <w:fldChar w:fldCharType="end"/>
          </w:r>
        </w:p>
        <w:p w14:paraId="7B772FE0">
          <w:pPr>
            <w:pStyle w:val="30"/>
            <w:rPr>
              <w:rFonts w:ascii="Times New Roman" w:hAnsi="Times New Roman" w:eastAsiaTheme="minorEastAsia"/>
              <w:bCs w:val="0"/>
              <w:sz w:val="28"/>
              <w:lang w:val="ru-RU" w:eastAsia="ru-RU"/>
            </w:rPr>
          </w:pPr>
          <w:r>
            <w:fldChar w:fldCharType="begin"/>
          </w:r>
          <w:r>
            <w:instrText xml:space="preserve"> HYPERLINK \l "_Toc229998030" </w:instrText>
          </w:r>
          <w:r>
            <w:fldChar w:fldCharType="separate"/>
          </w:r>
          <w:r>
            <w:rPr>
              <w:rStyle w:val="26"/>
              <w:rFonts w:ascii="Times New Roman" w:hAnsi="Times New Roman"/>
              <w:sz w:val="28"/>
            </w:rPr>
            <w:t>2. СПЕЦИАЛЬНЫЕ ПРАВИЛА КОМПЕТЕНЦИИ</w:t>
          </w:r>
          <w:r>
            <w:rPr>
              <w:rFonts w:ascii="Times New Roman" w:hAnsi="Times New Roman"/>
              <w:sz w:val="28"/>
            </w:rPr>
            <w:tab/>
          </w:r>
          <w:r>
            <w:rPr>
              <w:rFonts w:ascii="Times New Roman" w:hAnsi="Times New Roman"/>
              <w:sz w:val="28"/>
            </w:rPr>
            <w:fldChar w:fldCharType="begin"/>
          </w:r>
          <w:r>
            <w:rPr>
              <w:rFonts w:ascii="Times New Roman" w:hAnsi="Times New Roman"/>
              <w:sz w:val="28"/>
            </w:rPr>
            <w:instrText xml:space="preserve"> PAGEREF _Toc229998030 \h </w:instrText>
          </w:r>
          <w:r>
            <w:rPr>
              <w:rFonts w:ascii="Times New Roman" w:hAnsi="Times New Roman"/>
              <w:sz w:val="28"/>
            </w:rPr>
            <w:fldChar w:fldCharType="separate"/>
          </w:r>
          <w:r>
            <w:rPr>
              <w:rFonts w:ascii="Times New Roman" w:hAnsi="Times New Roman"/>
              <w:sz w:val="28"/>
            </w:rPr>
            <w:t>14</w:t>
          </w:r>
          <w:r>
            <w:rPr>
              <w:rFonts w:ascii="Times New Roman" w:hAnsi="Times New Roman"/>
              <w:sz w:val="28"/>
            </w:rPr>
            <w:fldChar w:fldCharType="end"/>
          </w:r>
          <w:r>
            <w:rPr>
              <w:rFonts w:ascii="Times New Roman" w:hAnsi="Times New Roman"/>
              <w:sz w:val="28"/>
            </w:rPr>
            <w:fldChar w:fldCharType="end"/>
          </w:r>
        </w:p>
        <w:p w14:paraId="229E77D2">
          <w:pPr>
            <w:pStyle w:val="31"/>
            <w:rPr>
              <w:rFonts w:eastAsiaTheme="minorEastAsia"/>
              <w:sz w:val="28"/>
              <w:szCs w:val="28"/>
            </w:rPr>
          </w:pPr>
          <w:r>
            <w:fldChar w:fldCharType="begin"/>
          </w:r>
          <w:r>
            <w:instrText xml:space="preserve"> HYPERLINK \l "_Toc229998031" </w:instrText>
          </w:r>
          <w:r>
            <w:fldChar w:fldCharType="separate"/>
          </w:r>
          <w:r>
            <w:rPr>
              <w:rStyle w:val="26"/>
              <w:sz w:val="28"/>
              <w:szCs w:val="28"/>
            </w:rPr>
            <w:t>2.1. Личный инструмент конкурсанта</w:t>
          </w:r>
          <w:r>
            <w:rPr>
              <w:sz w:val="28"/>
              <w:szCs w:val="28"/>
            </w:rPr>
            <w:tab/>
          </w:r>
          <w:r>
            <w:rPr>
              <w:sz w:val="28"/>
              <w:szCs w:val="28"/>
            </w:rPr>
            <w:fldChar w:fldCharType="begin"/>
          </w:r>
          <w:r>
            <w:rPr>
              <w:sz w:val="28"/>
              <w:szCs w:val="28"/>
            </w:rPr>
            <w:instrText xml:space="preserve"> PAGEREF _Toc229998031 \h </w:instrText>
          </w:r>
          <w:r>
            <w:rPr>
              <w:sz w:val="28"/>
              <w:szCs w:val="28"/>
            </w:rPr>
            <w:fldChar w:fldCharType="separate"/>
          </w:r>
          <w:r>
            <w:rPr>
              <w:sz w:val="28"/>
              <w:szCs w:val="28"/>
            </w:rPr>
            <w:t>14</w:t>
          </w:r>
          <w:r>
            <w:rPr>
              <w:sz w:val="28"/>
              <w:szCs w:val="28"/>
            </w:rPr>
            <w:fldChar w:fldCharType="end"/>
          </w:r>
          <w:r>
            <w:rPr>
              <w:sz w:val="28"/>
              <w:szCs w:val="28"/>
            </w:rPr>
            <w:fldChar w:fldCharType="end"/>
          </w:r>
        </w:p>
        <w:p w14:paraId="25CED250">
          <w:pPr>
            <w:pStyle w:val="31"/>
            <w:rPr>
              <w:rFonts w:eastAsiaTheme="minorEastAsia"/>
              <w:sz w:val="28"/>
              <w:szCs w:val="28"/>
            </w:rPr>
          </w:pPr>
          <w:r>
            <w:fldChar w:fldCharType="begin"/>
          </w:r>
          <w:r>
            <w:instrText xml:space="preserve"> HYPERLINK \l "_Toc229998032" </w:instrText>
          </w:r>
          <w:r>
            <w:fldChar w:fldCharType="separate"/>
          </w:r>
          <w:r>
            <w:rPr>
              <w:rStyle w:val="26"/>
              <w:sz w:val="28"/>
              <w:szCs w:val="28"/>
            </w:rPr>
            <w:t>2.2. Материалы, оборудование и инструменты, запрещенные на площадке</w:t>
          </w:r>
          <w:r>
            <w:rPr>
              <w:sz w:val="28"/>
              <w:szCs w:val="28"/>
            </w:rPr>
            <w:tab/>
          </w:r>
          <w:r>
            <w:rPr>
              <w:sz w:val="28"/>
              <w:szCs w:val="28"/>
            </w:rPr>
            <w:fldChar w:fldCharType="begin"/>
          </w:r>
          <w:r>
            <w:rPr>
              <w:sz w:val="28"/>
              <w:szCs w:val="28"/>
            </w:rPr>
            <w:instrText xml:space="preserve"> PAGEREF _Toc229998032 \h </w:instrText>
          </w:r>
          <w:r>
            <w:rPr>
              <w:sz w:val="28"/>
              <w:szCs w:val="28"/>
            </w:rPr>
            <w:fldChar w:fldCharType="separate"/>
          </w:r>
          <w:r>
            <w:rPr>
              <w:sz w:val="28"/>
              <w:szCs w:val="28"/>
            </w:rPr>
            <w:t>14</w:t>
          </w:r>
          <w:r>
            <w:rPr>
              <w:sz w:val="28"/>
              <w:szCs w:val="28"/>
            </w:rPr>
            <w:fldChar w:fldCharType="end"/>
          </w:r>
          <w:r>
            <w:rPr>
              <w:sz w:val="28"/>
              <w:szCs w:val="28"/>
            </w:rPr>
            <w:fldChar w:fldCharType="end"/>
          </w:r>
        </w:p>
        <w:p w14:paraId="043BC8B7">
          <w:pPr>
            <w:pStyle w:val="30"/>
            <w:rPr>
              <w:rFonts w:ascii="Times New Roman" w:hAnsi="Times New Roman" w:eastAsiaTheme="minorEastAsia"/>
              <w:bCs w:val="0"/>
              <w:sz w:val="28"/>
              <w:lang w:val="ru-RU" w:eastAsia="ru-RU"/>
            </w:rPr>
          </w:pPr>
          <w:r>
            <w:fldChar w:fldCharType="begin"/>
          </w:r>
          <w:r>
            <w:instrText xml:space="preserve"> HYPERLINK \l "_Toc229998033" </w:instrText>
          </w:r>
          <w:r>
            <w:fldChar w:fldCharType="separate"/>
          </w:r>
          <w:r>
            <w:rPr>
              <w:rStyle w:val="26"/>
              <w:rFonts w:ascii="Times New Roman" w:hAnsi="Times New Roman"/>
              <w:sz w:val="28"/>
              <w:lang w:val="ru-RU"/>
            </w:rPr>
            <w:t>3. Приложения</w:t>
          </w:r>
          <w:r>
            <w:rPr>
              <w:rFonts w:ascii="Times New Roman" w:hAnsi="Times New Roman"/>
              <w:sz w:val="28"/>
            </w:rPr>
            <w:tab/>
          </w:r>
          <w:r>
            <w:rPr>
              <w:rFonts w:ascii="Times New Roman" w:hAnsi="Times New Roman"/>
              <w:sz w:val="28"/>
            </w:rPr>
            <w:fldChar w:fldCharType="begin"/>
          </w:r>
          <w:r>
            <w:rPr>
              <w:rFonts w:ascii="Times New Roman" w:hAnsi="Times New Roman"/>
              <w:sz w:val="28"/>
            </w:rPr>
            <w:instrText xml:space="preserve"> PAGEREF _Toc229998033 \h </w:instrText>
          </w:r>
          <w:r>
            <w:rPr>
              <w:rFonts w:ascii="Times New Roman" w:hAnsi="Times New Roman"/>
              <w:sz w:val="28"/>
            </w:rPr>
            <w:fldChar w:fldCharType="separate"/>
          </w:r>
          <w:r>
            <w:rPr>
              <w:rFonts w:ascii="Times New Roman" w:hAnsi="Times New Roman"/>
              <w:sz w:val="28"/>
            </w:rPr>
            <w:t>16</w:t>
          </w:r>
          <w:r>
            <w:rPr>
              <w:rFonts w:ascii="Times New Roman" w:hAnsi="Times New Roman"/>
              <w:sz w:val="28"/>
            </w:rPr>
            <w:fldChar w:fldCharType="end"/>
          </w:r>
          <w:r>
            <w:rPr>
              <w:rFonts w:ascii="Times New Roman" w:hAnsi="Times New Roman"/>
              <w:sz w:val="28"/>
            </w:rPr>
            <w:fldChar w:fldCharType="end"/>
          </w:r>
        </w:p>
        <w:p w14:paraId="2636AA5F">
          <w:pPr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bCs/>
              <w:sz w:val="28"/>
              <w:szCs w:val="28"/>
            </w:rPr>
            <w:fldChar w:fldCharType="end"/>
          </w:r>
        </w:p>
      </w:sdtContent>
    </w:sdt>
    <w:p w14:paraId="1F8395EA">
      <w:pPr>
        <w:pStyle w:val="30"/>
        <w:rPr>
          <w:rFonts w:ascii="Times New Roman" w:hAnsi="Times New Roman" w:eastAsia="Segoe UI"/>
          <w:bCs w:val="0"/>
          <w:sz w:val="28"/>
          <w:lang w:val="ru-RU" w:bidi="en-US"/>
        </w:rPr>
      </w:pPr>
    </w:p>
    <w:p w14:paraId="4CE33FA5">
      <w:pPr>
        <w:pStyle w:val="30"/>
        <w:rPr>
          <w:rFonts w:ascii="Times New Roman" w:hAnsi="Times New Roman" w:eastAsia="Segoe UI"/>
          <w:bCs w:val="0"/>
          <w:sz w:val="28"/>
          <w:lang w:val="ru-RU" w:bidi="en-US"/>
        </w:rPr>
      </w:pPr>
    </w:p>
    <w:p w14:paraId="3A169CC6">
      <w:pPr>
        <w:pStyle w:val="30"/>
        <w:rPr>
          <w:rFonts w:ascii="Times New Roman" w:hAnsi="Times New Roman" w:eastAsia="Segoe UI"/>
          <w:bCs w:val="0"/>
          <w:sz w:val="28"/>
          <w:lang w:val="ru-RU" w:bidi="en-US"/>
        </w:rPr>
      </w:pPr>
    </w:p>
    <w:p w14:paraId="6E817E7B">
      <w:pPr>
        <w:pStyle w:val="30"/>
        <w:rPr>
          <w:rFonts w:ascii="Times New Roman" w:hAnsi="Times New Roman" w:eastAsia="Segoe UI"/>
          <w:bCs w:val="0"/>
          <w:sz w:val="28"/>
          <w:lang w:val="ru-RU" w:bidi="en-US"/>
        </w:rPr>
      </w:pPr>
      <w:r>
        <w:rPr>
          <w:rFonts w:ascii="Times New Roman" w:hAnsi="Times New Roman" w:eastAsia="Segoe UI"/>
          <w:bCs w:val="0"/>
          <w:sz w:val="28"/>
          <w:lang w:val="ru-RU" w:bidi="en-US"/>
        </w:rPr>
        <w:fldChar w:fldCharType="begin"/>
      </w:r>
      <w:r>
        <w:rPr>
          <w:rFonts w:ascii="Times New Roman" w:hAnsi="Times New Roman" w:eastAsia="Segoe UI"/>
          <w:bCs w:val="0"/>
          <w:sz w:val="28"/>
          <w:lang w:val="ru-RU" w:bidi="en-US"/>
        </w:rPr>
        <w:instrText xml:space="preserve"> TOC \o "1-2" \h \z \u </w:instrText>
      </w:r>
      <w:r>
        <w:rPr>
          <w:rFonts w:ascii="Times New Roman" w:hAnsi="Times New Roman" w:eastAsia="Segoe UI"/>
          <w:bCs w:val="0"/>
          <w:sz w:val="28"/>
          <w:lang w:val="ru-RU" w:bidi="en-US"/>
        </w:rPr>
        <w:fldChar w:fldCharType="end"/>
      </w:r>
    </w:p>
    <w:p w14:paraId="48B69E65">
      <w:pPr>
        <w:pStyle w:val="49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  <w:sectPr>
          <w:pgSz w:w="11906" w:h="16838"/>
          <w:pgMar w:top="1134" w:right="850" w:bottom="1134" w:left="1701" w:header="0" w:footer="567" w:gutter="0"/>
          <w:pgNumType w:start="1"/>
          <w:cols w:space="708" w:num="1"/>
          <w:titlePg/>
          <w:docGrid w:linePitch="360" w:charSpace="0"/>
        </w:sectPr>
      </w:pPr>
    </w:p>
    <w:p w14:paraId="0C9FE444">
      <w:pPr>
        <w:pStyle w:val="49"/>
        <w:numPr>
          <w:ilvl w:val="0"/>
          <w:numId w:val="0"/>
        </w:numPr>
        <w:jc w:val="center"/>
        <w:rPr>
          <w:rFonts w:ascii="Times New Roman" w:hAnsi="Times New Roman"/>
          <w:b/>
          <w:bCs/>
          <w:sz w:val="28"/>
          <w:szCs w:val="28"/>
          <w:lang w:val="ru-RU" w:eastAsia="ru-RU"/>
        </w:rPr>
      </w:pPr>
      <w:r>
        <w:rPr>
          <w:rFonts w:ascii="Times New Roman" w:hAnsi="Times New Roman"/>
          <w:b/>
          <w:bCs/>
          <w:sz w:val="28"/>
          <w:szCs w:val="28"/>
          <w:lang w:val="ru-RU" w:eastAsia="ru-RU"/>
        </w:rPr>
        <w:t>ИСПОЛЬЗУЕМЫЕ СОКРАЩЕНИЯ</w:t>
      </w:r>
    </w:p>
    <w:p w14:paraId="2E6B4634">
      <w:pPr>
        <w:pStyle w:val="49"/>
        <w:numPr>
          <w:ilvl w:val="0"/>
          <w:numId w:val="5"/>
        </w:numPr>
        <w:tabs>
          <w:tab w:val="left" w:pos="567"/>
          <w:tab w:val="clear" w:pos="360"/>
        </w:tabs>
        <w:ind w:left="567" w:hanging="567"/>
        <w:jc w:val="both"/>
        <w:rPr>
          <w:rFonts w:ascii="Times New Roman" w:hAnsi="Times New Roman" w:eastAsia="Segoe UI"/>
          <w:sz w:val="28"/>
          <w:szCs w:val="28"/>
          <w:lang w:val="ru-RU" w:bidi="en-US"/>
        </w:rPr>
      </w:pPr>
      <w:r>
        <w:rPr>
          <w:rFonts w:ascii="Times New Roman" w:hAnsi="Times New Roman" w:eastAsia="Segoe UI"/>
          <w:sz w:val="28"/>
          <w:szCs w:val="28"/>
          <w:lang w:val="ru-RU" w:bidi="en-US"/>
        </w:rPr>
        <w:t>ФГОС – Федеральный государственный образовательный стандарт.</w:t>
      </w:r>
    </w:p>
    <w:p w14:paraId="018A2EAF">
      <w:pPr>
        <w:pStyle w:val="49"/>
        <w:numPr>
          <w:ilvl w:val="0"/>
          <w:numId w:val="5"/>
        </w:numPr>
        <w:tabs>
          <w:tab w:val="left" w:pos="567"/>
          <w:tab w:val="clear" w:pos="360"/>
        </w:tabs>
        <w:ind w:left="567" w:hanging="567"/>
        <w:jc w:val="both"/>
        <w:rPr>
          <w:rFonts w:ascii="Times New Roman" w:hAnsi="Times New Roman" w:eastAsia="Segoe UI"/>
          <w:sz w:val="28"/>
          <w:szCs w:val="28"/>
          <w:lang w:val="ru-RU" w:bidi="en-US"/>
        </w:rPr>
      </w:pPr>
      <w:r>
        <w:rPr>
          <w:rFonts w:ascii="Times New Roman" w:hAnsi="Times New Roman" w:eastAsia="Segoe UI"/>
          <w:sz w:val="28"/>
          <w:szCs w:val="28"/>
          <w:lang w:val="ru-RU" w:bidi="en-US"/>
        </w:rPr>
        <w:t>ПС – Профессиональный стандарт.</w:t>
      </w:r>
    </w:p>
    <w:p w14:paraId="3C7A2F9E">
      <w:pPr>
        <w:pStyle w:val="49"/>
        <w:numPr>
          <w:ilvl w:val="0"/>
          <w:numId w:val="5"/>
        </w:numPr>
        <w:tabs>
          <w:tab w:val="left" w:pos="567"/>
          <w:tab w:val="clear" w:pos="360"/>
        </w:tabs>
        <w:ind w:left="567" w:hanging="567"/>
        <w:jc w:val="both"/>
        <w:rPr>
          <w:rFonts w:ascii="Times New Roman" w:hAnsi="Times New Roman" w:eastAsia="Segoe UI"/>
          <w:sz w:val="28"/>
          <w:szCs w:val="28"/>
          <w:lang w:val="ru-RU" w:bidi="en-US"/>
        </w:rPr>
      </w:pPr>
      <w:r>
        <w:rPr>
          <w:rFonts w:ascii="Times New Roman" w:hAnsi="Times New Roman" w:eastAsia="Segoe UI"/>
          <w:sz w:val="28"/>
          <w:szCs w:val="28"/>
          <w:lang w:val="ru-RU" w:bidi="en-US"/>
        </w:rPr>
        <w:t>DWH (Data Warehouse) — централизованное хранилище данных, предназначенное для анализа и подготовки отчетности.</w:t>
      </w:r>
    </w:p>
    <w:p w14:paraId="67FCC7CB">
      <w:pPr>
        <w:pStyle w:val="49"/>
        <w:numPr>
          <w:ilvl w:val="0"/>
          <w:numId w:val="5"/>
        </w:numPr>
        <w:tabs>
          <w:tab w:val="left" w:pos="567"/>
          <w:tab w:val="clear" w:pos="360"/>
        </w:tabs>
        <w:ind w:left="567" w:hanging="567"/>
        <w:jc w:val="both"/>
        <w:rPr>
          <w:rFonts w:ascii="Times New Roman" w:hAnsi="Times New Roman" w:eastAsia="Segoe UI"/>
          <w:sz w:val="28"/>
          <w:szCs w:val="28"/>
          <w:lang w:val="ru-RU" w:bidi="en-US"/>
        </w:rPr>
      </w:pPr>
      <w:r>
        <w:rPr>
          <w:rFonts w:ascii="Times New Roman" w:hAnsi="Times New Roman" w:eastAsia="Segoe UI"/>
          <w:sz w:val="28"/>
          <w:szCs w:val="28"/>
          <w:lang w:val="ru-RU" w:bidi="en-US"/>
        </w:rPr>
        <w:t>ETL (Extract, Transform, Load) — процессы извлечения данных из транспортных систем, их преобразования и загрузки в целевое хранилище.</w:t>
      </w:r>
    </w:p>
    <w:p w14:paraId="03122BC5">
      <w:pPr>
        <w:pStyle w:val="49"/>
        <w:numPr>
          <w:ilvl w:val="0"/>
          <w:numId w:val="5"/>
        </w:numPr>
        <w:tabs>
          <w:tab w:val="left" w:pos="567"/>
          <w:tab w:val="clear" w:pos="360"/>
        </w:tabs>
        <w:ind w:left="567" w:hanging="567"/>
        <w:jc w:val="both"/>
        <w:rPr>
          <w:rFonts w:ascii="Times New Roman" w:hAnsi="Times New Roman" w:eastAsia="Segoe UI"/>
          <w:sz w:val="28"/>
          <w:szCs w:val="28"/>
          <w:lang w:val="ru-RU" w:bidi="en-US"/>
        </w:rPr>
      </w:pPr>
      <w:r>
        <w:rPr>
          <w:rFonts w:ascii="Times New Roman" w:hAnsi="Times New Roman" w:eastAsia="Segoe UI"/>
          <w:sz w:val="28"/>
          <w:szCs w:val="28"/>
          <w:lang w:val="ru-RU" w:bidi="en-US"/>
        </w:rPr>
        <w:t>DAG (Directed Acyclic Graph) — направленный ациклический граф; структура для описания зависимостей между задачами в ETL-процессах.</w:t>
      </w:r>
    </w:p>
    <w:p w14:paraId="626BE0B7">
      <w:pPr>
        <w:pStyle w:val="49"/>
        <w:numPr>
          <w:ilvl w:val="0"/>
          <w:numId w:val="5"/>
        </w:numPr>
        <w:tabs>
          <w:tab w:val="left" w:pos="567"/>
          <w:tab w:val="clear" w:pos="360"/>
        </w:tabs>
        <w:ind w:left="567" w:hanging="567"/>
        <w:jc w:val="both"/>
        <w:rPr>
          <w:rFonts w:ascii="Times New Roman" w:hAnsi="Times New Roman" w:eastAsia="Segoe UI"/>
          <w:sz w:val="28"/>
          <w:szCs w:val="28"/>
          <w:lang w:val="ru-RU" w:bidi="en-US"/>
        </w:rPr>
      </w:pPr>
      <w:r>
        <w:rPr>
          <w:rFonts w:ascii="Times New Roman" w:hAnsi="Times New Roman" w:eastAsia="Segoe UI"/>
          <w:sz w:val="28"/>
          <w:szCs w:val="28"/>
          <w:lang w:val="ru-RU" w:bidi="en-US"/>
        </w:rPr>
        <w:t>OLAP (Online Analytical Processing) — технология оперативной аналитической обработки данных.</w:t>
      </w:r>
    </w:p>
    <w:p w14:paraId="7566F755">
      <w:pPr>
        <w:pStyle w:val="49"/>
        <w:numPr>
          <w:ilvl w:val="0"/>
          <w:numId w:val="5"/>
        </w:numPr>
        <w:tabs>
          <w:tab w:val="left" w:pos="567"/>
          <w:tab w:val="clear" w:pos="360"/>
        </w:tabs>
        <w:ind w:left="567" w:hanging="567"/>
        <w:jc w:val="both"/>
        <w:rPr>
          <w:rFonts w:ascii="Times New Roman" w:hAnsi="Times New Roman" w:eastAsia="Segoe UI"/>
          <w:sz w:val="28"/>
          <w:szCs w:val="28"/>
          <w:lang w:val="ru-RU" w:bidi="en-US"/>
        </w:rPr>
      </w:pPr>
      <w:r>
        <w:rPr>
          <w:rFonts w:ascii="Times New Roman" w:hAnsi="Times New Roman" w:eastAsia="Segoe UI"/>
          <w:sz w:val="28"/>
          <w:szCs w:val="28"/>
          <w:lang w:val="ru-RU" w:bidi="en-US"/>
        </w:rPr>
        <w:t>GPS (Global Positioning System) — система глобального позиционирования, основной источник данных о координатах транспортных средств.</w:t>
      </w:r>
    </w:p>
    <w:p w14:paraId="61EA0738">
      <w:pPr>
        <w:pStyle w:val="49"/>
        <w:numPr>
          <w:ilvl w:val="0"/>
          <w:numId w:val="5"/>
        </w:numPr>
        <w:tabs>
          <w:tab w:val="left" w:pos="567"/>
          <w:tab w:val="clear" w:pos="360"/>
        </w:tabs>
        <w:ind w:left="567" w:hanging="567"/>
        <w:jc w:val="both"/>
        <w:rPr>
          <w:rFonts w:ascii="Times New Roman" w:hAnsi="Times New Roman" w:eastAsia="Segoe UI"/>
          <w:sz w:val="28"/>
          <w:szCs w:val="28"/>
          <w:lang w:val="ru-RU" w:bidi="en-US"/>
        </w:rPr>
      </w:pPr>
      <w:r>
        <w:rPr>
          <w:rFonts w:ascii="Times New Roman" w:hAnsi="Times New Roman" w:eastAsia="Segoe UI"/>
          <w:sz w:val="28"/>
          <w:szCs w:val="28"/>
          <w:lang w:val="ru-RU" w:bidi="en-US"/>
        </w:rPr>
        <w:t>ODS (Operational Data Store) — оперативный склад данных, используемый для интеграции данных из разных источников перед их загрузкой в постоянное хранилище.</w:t>
      </w:r>
    </w:p>
    <w:p w14:paraId="66F20195">
      <w:pPr>
        <w:pStyle w:val="49"/>
        <w:numPr>
          <w:ilvl w:val="0"/>
          <w:numId w:val="5"/>
        </w:numPr>
        <w:tabs>
          <w:tab w:val="left" w:pos="567"/>
          <w:tab w:val="clear" w:pos="360"/>
        </w:tabs>
        <w:ind w:left="567" w:hanging="567"/>
        <w:jc w:val="both"/>
        <w:rPr>
          <w:rFonts w:ascii="Times New Roman" w:hAnsi="Times New Roman" w:eastAsia="Segoe UI"/>
          <w:sz w:val="28"/>
          <w:szCs w:val="28"/>
          <w:lang w:val="ru-RU" w:bidi="en-US"/>
        </w:rPr>
      </w:pPr>
      <w:r>
        <w:rPr>
          <w:rFonts w:ascii="Times New Roman" w:hAnsi="Times New Roman" w:eastAsia="Segoe UI"/>
          <w:sz w:val="28"/>
          <w:szCs w:val="28"/>
          <w:lang w:val="ru-RU" w:bidi="en-US"/>
        </w:rPr>
        <w:t>API (Application Programming Interface) — программный интерфейс, через который DWH получает данные от телематических платформ или внешних сервисов.</w:t>
      </w:r>
    </w:p>
    <w:p w14:paraId="32B24DCC">
      <w:pPr>
        <w:pStyle w:val="49"/>
        <w:numPr>
          <w:ilvl w:val="0"/>
          <w:numId w:val="5"/>
        </w:numPr>
        <w:tabs>
          <w:tab w:val="left" w:pos="567"/>
          <w:tab w:val="clear" w:pos="360"/>
        </w:tabs>
        <w:ind w:left="567" w:hanging="567"/>
        <w:jc w:val="both"/>
        <w:rPr>
          <w:rFonts w:ascii="Times New Roman" w:hAnsi="Times New Roman" w:eastAsia="Segoe UI"/>
          <w:sz w:val="28"/>
          <w:szCs w:val="28"/>
          <w:lang w:val="ru-RU" w:bidi="en-US"/>
        </w:rPr>
      </w:pPr>
      <w:r>
        <w:rPr>
          <w:rFonts w:ascii="Times New Roman" w:hAnsi="Times New Roman" w:eastAsia="Segoe UI"/>
          <w:sz w:val="28"/>
          <w:szCs w:val="28"/>
          <w:lang w:val="ru-RU" w:bidi="en-US"/>
        </w:rPr>
        <w:t>SLA (Service Level Agreement) — соглашение об уровне сервиса, определяющее требования к актуальности и доступности данных в системе мониторинга.</w:t>
      </w:r>
    </w:p>
    <w:p w14:paraId="68E2DF5D">
      <w:pPr>
        <w:pStyle w:val="49"/>
        <w:numPr>
          <w:ilvl w:val="0"/>
          <w:numId w:val="5"/>
        </w:numPr>
        <w:tabs>
          <w:tab w:val="left" w:pos="567"/>
          <w:tab w:val="clear" w:pos="360"/>
        </w:tabs>
        <w:ind w:left="567" w:hanging="567"/>
        <w:jc w:val="both"/>
        <w:rPr>
          <w:rFonts w:ascii="Times New Roman" w:hAnsi="Times New Roman" w:eastAsia="Segoe UI"/>
          <w:sz w:val="28"/>
          <w:szCs w:val="28"/>
          <w:lang w:val="ru-RU" w:bidi="en-US"/>
        </w:rPr>
      </w:pPr>
      <w:r>
        <w:rPr>
          <w:rFonts w:ascii="Times New Roman" w:hAnsi="Times New Roman" w:eastAsia="Segoe UI"/>
          <w:sz w:val="28"/>
          <w:szCs w:val="28"/>
          <w:lang w:val="ru-RU" w:bidi="en-US"/>
        </w:rPr>
        <w:t>VIN (Vehicle Identification Number) — уникальный идентификационный номер транспортного средства, используемый как главный ключ для объединения данных о технике.</w:t>
      </w:r>
    </w:p>
    <w:p w14:paraId="23226E1F">
      <w:pPr>
        <w:pStyle w:val="49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</w:p>
    <w:p w14:paraId="77CD827A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bookmarkStart w:id="0" w:name="_Toc450204622"/>
      <w:r>
        <w:rPr>
          <w:rFonts w:ascii="Times New Roman" w:hAnsi="Times New Roman" w:cs="Times New Roman"/>
          <w:b/>
          <w:bCs/>
        </w:rPr>
        <w:br w:type="page"/>
      </w:r>
      <w:bookmarkEnd w:id="0"/>
    </w:p>
    <w:p w14:paraId="6A03C26E">
      <w:pPr>
        <w:pStyle w:val="2"/>
        <w:rPr>
          <w:lang w:val="ru-RU"/>
        </w:rPr>
      </w:pPr>
      <w:bookmarkStart w:id="1" w:name="_Toc229998022"/>
      <w:bookmarkStart w:id="2" w:name="_Toc216104735"/>
      <w:r>
        <w:rPr>
          <w:lang w:val="ru-RU"/>
        </w:rPr>
        <w:t>1.ОСНОВНЫЕ ТРЕБОВАНИЯ КОМПЕТЕНЦИИ</w:t>
      </w:r>
      <w:bookmarkEnd w:id="1"/>
      <w:bookmarkEnd w:id="2"/>
    </w:p>
    <w:p w14:paraId="77DC9A2A">
      <w:pPr>
        <w:pStyle w:val="3"/>
        <w:rPr>
          <w:lang w:val="ru-RU"/>
        </w:rPr>
      </w:pPr>
      <w:bookmarkStart w:id="3" w:name="_Toc216104736"/>
      <w:bookmarkStart w:id="4" w:name="_Toc229998023"/>
      <w:r>
        <w:rPr>
          <w:lang w:val="ru-RU"/>
        </w:rPr>
        <w:t>1.1. Общие сведения о требованиях компетенции</w:t>
      </w:r>
      <w:bookmarkEnd w:id="3"/>
      <w:bookmarkEnd w:id="4"/>
    </w:p>
    <w:p w14:paraId="5BC432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компетенции (ТК) «Аналитик транспортных данных»</w:t>
      </w:r>
      <w:bookmarkStart w:id="5" w:name="_Hlk123050441"/>
      <w:r>
        <w:rPr>
          <w:rFonts w:ascii="Times New Roman" w:hAnsi="Times New Roman" w:cs="Times New Roman"/>
          <w:sz w:val="28"/>
          <w:szCs w:val="28"/>
        </w:rPr>
        <w:t xml:space="preserve"> определяют знания, умения, навыки и трудовые функции</w:t>
      </w:r>
      <w:bookmarkEnd w:id="5"/>
      <w:r>
        <w:rPr>
          <w:rFonts w:ascii="Times New Roman" w:hAnsi="Times New Roman" w:cs="Times New Roman"/>
          <w:sz w:val="28"/>
          <w:szCs w:val="28"/>
        </w:rPr>
        <w:t>, которые лежат в основе наиболее актуальных требований работодателей отрасли.</w:t>
      </w:r>
    </w:p>
    <w:p w14:paraId="718E09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Целью соревнований по компетенции является демонстрация лучших практик и высокого уровня выполнения работы по соответствующей рабочей специальности или профессии.</w:t>
      </w:r>
    </w:p>
    <w:p w14:paraId="3AC846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компетенции являются руководством для подготовки конкурентоспособных, высококвалифицированных специалистов / рабочих и участия их в конкурсах профессионального мастерства.</w:t>
      </w:r>
    </w:p>
    <w:p w14:paraId="4FE9D4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соревнованиях по компетенции проверка знаний, умений, навыков и трудовых функций осуществляется посредством оценки выполнения практической работы. </w:t>
      </w:r>
    </w:p>
    <w:p w14:paraId="14CB8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компетенции разделены на четкие разделы с номерами и заголовками, каждому разделу назначен процент относительной важности, сумма которых составляет 100.</w:t>
      </w:r>
    </w:p>
    <w:p w14:paraId="2AB0BE5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D15B3E4">
      <w:pPr>
        <w:pStyle w:val="3"/>
        <w:rPr>
          <w:lang w:val="ru-RU"/>
        </w:rPr>
      </w:pPr>
      <w:bookmarkStart w:id="6" w:name="_Toc78885652"/>
      <w:bookmarkStart w:id="7" w:name="_Toc216104737"/>
      <w:bookmarkStart w:id="8" w:name="_Toc229998024"/>
      <w:r>
        <w:rPr>
          <w:lang w:val="ru-RU"/>
        </w:rPr>
        <w:t>1.</w:t>
      </w:r>
      <w:bookmarkEnd w:id="6"/>
      <w:r>
        <w:rPr>
          <w:lang w:val="ru-RU"/>
        </w:rPr>
        <w:t>2. Перечень профессиональных задач специалиста</w:t>
      </w:r>
      <w:bookmarkEnd w:id="7"/>
      <w:r>
        <w:rPr>
          <w:lang w:val="ru-RU"/>
        </w:rPr>
        <w:t xml:space="preserve"> </w:t>
      </w:r>
      <w:bookmarkStart w:id="9" w:name="_Toc216104738"/>
      <w:r>
        <w:rPr>
          <w:lang w:val="ru-RU"/>
        </w:rPr>
        <w:t>по компетенции «Аналитик транспортных данных»</w:t>
      </w:r>
      <w:bookmarkEnd w:id="8"/>
      <w:bookmarkEnd w:id="9"/>
    </w:p>
    <w:p w14:paraId="3AC5EB2B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Перечень видов профессиональной деятельности, умений, знаний и профессиональных трудовых функций специалиста базируется на требованиях современного рынка труда к данному специалисту.</w:t>
      </w:r>
    </w:p>
    <w:p w14:paraId="69348878">
      <w:pPr>
        <w:spacing w:after="0" w:line="36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Таблица 1</w:t>
      </w:r>
    </w:p>
    <w:p w14:paraId="0D124346">
      <w:pPr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Перечень профессиональных задач специалиста</w:t>
      </w:r>
    </w:p>
    <w:tbl>
      <w:tblPr>
        <w:tblStyle w:val="12"/>
        <w:tblW w:w="5000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2"/>
        <w:gridCol w:w="7557"/>
        <w:gridCol w:w="1382"/>
      </w:tblGrid>
      <w:tr w14:paraId="4966F2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330" w:type="pct"/>
            <w:shd w:val="clear" w:color="auto" w:fill="92D050"/>
            <w:vAlign w:val="center"/>
          </w:tcPr>
          <w:p w14:paraId="490D86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948" w:type="pct"/>
            <w:shd w:val="clear" w:color="auto" w:fill="92D050"/>
            <w:vAlign w:val="center"/>
          </w:tcPr>
          <w:p w14:paraId="1FBD18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</w:p>
        </w:tc>
        <w:tc>
          <w:tcPr>
            <w:tcW w:w="722" w:type="pct"/>
            <w:shd w:val="clear" w:color="auto" w:fill="92D050"/>
            <w:vAlign w:val="center"/>
          </w:tcPr>
          <w:p w14:paraId="330095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Важность в %</w:t>
            </w:r>
          </w:p>
        </w:tc>
      </w:tr>
      <w:tr w14:paraId="6B4B5E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0" w:type="pct"/>
            <w:vMerge w:val="restart"/>
            <w:shd w:val="clear" w:color="auto" w:fill="BEBEBE" w:themeFill="background1" w:themeFillShade="BF"/>
          </w:tcPr>
          <w:p w14:paraId="7537B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10" w:name="_Hlk216106890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948" w:type="pct"/>
            <w:shd w:val="clear" w:color="auto" w:fill="auto"/>
            <w:vAlign w:val="center"/>
          </w:tcPr>
          <w:p w14:paraId="5AC1E53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Анализ потребностей и управление проектной документацией</w:t>
            </w:r>
          </w:p>
        </w:tc>
        <w:tc>
          <w:tcPr>
            <w:tcW w:w="722" w:type="pct"/>
            <w:shd w:val="clear" w:color="auto" w:fill="auto"/>
            <w:vAlign w:val="center"/>
          </w:tcPr>
          <w:p w14:paraId="2F0C7A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</w:tr>
      <w:tr w14:paraId="243BED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0" w:type="pct"/>
            <w:vMerge w:val="continue"/>
            <w:shd w:val="clear" w:color="auto" w:fill="BEBEBE" w:themeFill="background1" w:themeFillShade="BF"/>
          </w:tcPr>
          <w:p w14:paraId="7BF059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8" w:type="pct"/>
            <w:shd w:val="clear" w:color="auto" w:fill="auto"/>
            <w:vAlign w:val="center"/>
          </w:tcPr>
          <w:p w14:paraId="60191B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65F18E34">
            <w:pPr>
              <w:pStyle w:val="7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методы анализа и формализации требований к информационно-аналитическим системам; </w:t>
            </w:r>
          </w:p>
          <w:p w14:paraId="4F67898E">
            <w:pPr>
              <w:pStyle w:val="7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назначение и структуру проектной и технической документации.</w:t>
            </w:r>
          </w:p>
        </w:tc>
        <w:tc>
          <w:tcPr>
            <w:tcW w:w="722" w:type="pct"/>
            <w:vMerge w:val="restart"/>
            <w:shd w:val="clear" w:color="auto" w:fill="auto"/>
            <w:vAlign w:val="center"/>
          </w:tcPr>
          <w:p w14:paraId="6329E8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8A725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0" w:type="pct"/>
            <w:vMerge w:val="continue"/>
            <w:shd w:val="clear" w:color="auto" w:fill="BEBEBE" w:themeFill="background1" w:themeFillShade="BF"/>
          </w:tcPr>
          <w:p w14:paraId="6EED60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8" w:type="pct"/>
            <w:shd w:val="clear" w:color="auto" w:fill="auto"/>
            <w:vAlign w:val="center"/>
          </w:tcPr>
          <w:p w14:paraId="730D63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6BEF9DF7">
            <w:pPr>
              <w:pStyle w:val="7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интерпретировать требования заказчика; </w:t>
            </w:r>
          </w:p>
          <w:p w14:paraId="23152F77">
            <w:pPr>
              <w:pStyle w:val="7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формулировать функциональные и нефункциональные требования; документировать архитектурные, расчетные и аналитические решения;</w:t>
            </w:r>
          </w:p>
          <w:p w14:paraId="4A110713">
            <w:pPr>
              <w:pStyle w:val="7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обеспечивать согласованность документации с фактически реализованным решением.</w:t>
            </w:r>
          </w:p>
        </w:tc>
        <w:tc>
          <w:tcPr>
            <w:tcW w:w="722" w:type="pct"/>
            <w:vMerge w:val="continue"/>
            <w:shd w:val="clear" w:color="auto" w:fill="auto"/>
            <w:vAlign w:val="center"/>
          </w:tcPr>
          <w:p w14:paraId="7CC6DA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5DD86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0" w:type="pct"/>
            <w:shd w:val="clear" w:color="auto" w:fill="BEBEBE" w:themeFill="background1" w:themeFillShade="BF"/>
          </w:tcPr>
          <w:p w14:paraId="38ECE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948" w:type="pct"/>
            <w:shd w:val="clear" w:color="auto" w:fill="auto"/>
            <w:vAlign w:val="center"/>
          </w:tcPr>
          <w:p w14:paraId="3F187ED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Коммуникация и кросс-функциональное взаимодействие  </w:t>
            </w:r>
          </w:p>
        </w:tc>
        <w:tc>
          <w:tcPr>
            <w:tcW w:w="722" w:type="pct"/>
            <w:shd w:val="clear" w:color="auto" w:fill="auto"/>
            <w:vAlign w:val="center"/>
          </w:tcPr>
          <w:p w14:paraId="6DA3AB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</w:tr>
      <w:tr w14:paraId="308AC4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0" w:type="pct"/>
            <w:shd w:val="clear" w:color="auto" w:fill="BEBEBE" w:themeFill="background1" w:themeFillShade="BF"/>
          </w:tcPr>
          <w:p w14:paraId="1552F6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48" w:type="pct"/>
            <w:shd w:val="clear" w:color="auto" w:fill="auto"/>
            <w:vAlign w:val="center"/>
          </w:tcPr>
          <w:p w14:paraId="72F47D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Специалист должен знать и понимать:</w:t>
            </w:r>
          </w:p>
          <w:p w14:paraId="661A0ECD">
            <w:pPr>
              <w:pStyle w:val="7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принципы эффективной коммуникации в кросс-функциональных командах;</w:t>
            </w:r>
          </w:p>
          <w:p w14:paraId="2500BB7B">
            <w:pPr>
              <w:pStyle w:val="7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стандарты оформления отчётов (структура, логика изложения, требования к визуализации данных, чёткость формулировок);</w:t>
            </w:r>
          </w:p>
          <w:p w14:paraId="4141DD49">
            <w:pPr>
              <w:pStyle w:val="7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особенности подготовки отчётов для разных стейкхолдеров (руководство, технические специалисты, бизнес-подразделения);</w:t>
            </w:r>
          </w:p>
          <w:p w14:paraId="47FE9DB4">
            <w:pPr>
              <w:pStyle w:val="7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особенности презентации технических решений нетехнической аудитории.  </w:t>
            </w:r>
          </w:p>
        </w:tc>
        <w:tc>
          <w:tcPr>
            <w:tcW w:w="722" w:type="pct"/>
            <w:vMerge w:val="restart"/>
            <w:shd w:val="clear" w:color="auto" w:fill="auto"/>
            <w:vAlign w:val="center"/>
          </w:tcPr>
          <w:p w14:paraId="2D0868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53D45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0" w:type="pct"/>
            <w:shd w:val="clear" w:color="auto" w:fill="BEBEBE" w:themeFill="background1" w:themeFillShade="BF"/>
          </w:tcPr>
          <w:p w14:paraId="25D4EE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48" w:type="pct"/>
            <w:shd w:val="clear" w:color="auto" w:fill="auto"/>
            <w:vAlign w:val="center"/>
          </w:tcPr>
          <w:p w14:paraId="2FB6AC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03F16D97">
            <w:pPr>
              <w:pStyle w:val="74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аргументированно защищать архитектурные и аналитические решения перед руководством и заказчиками;  </w:t>
            </w:r>
          </w:p>
          <w:p w14:paraId="3156880F">
            <w:pPr>
              <w:pStyle w:val="74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структурировать информацию (методы, выводы, интерпретация результатов);</w:t>
            </w:r>
          </w:p>
          <w:p w14:paraId="35E9E071">
            <w:pPr>
              <w:pStyle w:val="74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готовить и проводить презентации результатов проекта, демонстрирующие достигнутый бизнес-эффект.</w:t>
            </w:r>
          </w:p>
        </w:tc>
        <w:tc>
          <w:tcPr>
            <w:tcW w:w="722" w:type="pct"/>
            <w:vMerge w:val="continue"/>
            <w:shd w:val="clear" w:color="auto" w:fill="auto"/>
            <w:vAlign w:val="center"/>
          </w:tcPr>
          <w:p w14:paraId="52BFF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A9B31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0" w:type="pct"/>
            <w:shd w:val="clear" w:color="auto" w:fill="BEBEBE" w:themeFill="background1" w:themeFillShade="BF"/>
          </w:tcPr>
          <w:p w14:paraId="6E5C5C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948" w:type="pct"/>
            <w:shd w:val="clear" w:color="auto" w:fill="auto"/>
            <w:vAlign w:val="center"/>
          </w:tcPr>
          <w:p w14:paraId="0446829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Проектирование и разработка инфраструктуры данных  </w:t>
            </w:r>
          </w:p>
        </w:tc>
        <w:tc>
          <w:tcPr>
            <w:tcW w:w="722" w:type="pct"/>
            <w:shd w:val="clear" w:color="auto" w:fill="auto"/>
            <w:vAlign w:val="center"/>
          </w:tcPr>
          <w:p w14:paraId="46808E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</w:tr>
      <w:tr w14:paraId="6E5D5B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0" w:type="pct"/>
            <w:shd w:val="clear" w:color="auto" w:fill="BEBEBE" w:themeFill="background1" w:themeFillShade="BF"/>
          </w:tcPr>
          <w:p w14:paraId="0C5248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48" w:type="pct"/>
            <w:shd w:val="clear" w:color="auto" w:fill="auto"/>
            <w:vAlign w:val="center"/>
          </w:tcPr>
          <w:p w14:paraId="05CABD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297DA588">
            <w:pPr>
              <w:pStyle w:val="7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принципы построения архитектуры информационно-аналитических систем; </w:t>
            </w:r>
          </w:p>
          <w:p w14:paraId="0090C20F">
            <w:pPr>
              <w:pStyle w:val="7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способы организации хранения пространственных, фактических, расчетных и аналитических данных; </w:t>
            </w:r>
          </w:p>
          <w:p w14:paraId="12564037">
            <w:pPr>
              <w:pStyle w:val="7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моделирования архитектуры и структуры данных</w:t>
            </w:r>
          </w:p>
        </w:tc>
        <w:tc>
          <w:tcPr>
            <w:tcW w:w="722" w:type="pct"/>
            <w:vMerge w:val="restart"/>
            <w:shd w:val="clear" w:color="auto" w:fill="auto"/>
            <w:vAlign w:val="center"/>
          </w:tcPr>
          <w:p w14:paraId="0F3FDD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1F071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0" w:type="pct"/>
            <w:shd w:val="clear" w:color="auto" w:fill="BEBEBE" w:themeFill="background1" w:themeFillShade="BF"/>
          </w:tcPr>
          <w:p w14:paraId="67E9C8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48" w:type="pct"/>
            <w:shd w:val="clear" w:color="auto" w:fill="auto"/>
            <w:vAlign w:val="center"/>
          </w:tcPr>
          <w:p w14:paraId="411D58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3DB66E06">
            <w:pPr>
              <w:pStyle w:val="7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проектировать архитектуру решения; </w:t>
            </w:r>
          </w:p>
          <w:p w14:paraId="20D5D813">
            <w:pPr>
              <w:pStyle w:val="7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определять основные компоненты и связи между ними; </w:t>
            </w:r>
          </w:p>
          <w:p w14:paraId="11DE874C">
            <w:pPr>
              <w:pStyle w:val="7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проектировать структуру базы данных; </w:t>
            </w:r>
          </w:p>
          <w:p w14:paraId="54771242">
            <w:pPr>
              <w:pStyle w:val="7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обеспечивать возможность совместного использования данных различными компонентами аналитической системы</w:t>
            </w:r>
          </w:p>
        </w:tc>
        <w:tc>
          <w:tcPr>
            <w:tcW w:w="722" w:type="pct"/>
            <w:vMerge w:val="continue"/>
            <w:shd w:val="clear" w:color="auto" w:fill="auto"/>
            <w:vAlign w:val="center"/>
          </w:tcPr>
          <w:p w14:paraId="77E3FF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D152D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0" w:type="pct"/>
            <w:shd w:val="clear" w:color="auto" w:fill="BEBEBE" w:themeFill="background1" w:themeFillShade="BF"/>
          </w:tcPr>
          <w:p w14:paraId="797550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948" w:type="pct"/>
            <w:shd w:val="clear" w:color="auto" w:fill="auto"/>
            <w:vAlign w:val="center"/>
          </w:tcPr>
          <w:p w14:paraId="4AC51DC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и обеспечение качества транспортных данных</w:t>
            </w:r>
          </w:p>
        </w:tc>
        <w:tc>
          <w:tcPr>
            <w:tcW w:w="722" w:type="pct"/>
            <w:shd w:val="clear" w:color="auto" w:fill="auto"/>
            <w:vAlign w:val="center"/>
          </w:tcPr>
          <w:p w14:paraId="74F59D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</w:tr>
      <w:tr w14:paraId="03E400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0" w:type="pct"/>
            <w:shd w:val="clear" w:color="auto" w:fill="BEBEBE" w:themeFill="background1" w:themeFillShade="BF"/>
          </w:tcPr>
          <w:p w14:paraId="6C426F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48" w:type="pct"/>
            <w:shd w:val="clear" w:color="auto" w:fill="auto"/>
            <w:vAlign w:val="center"/>
          </w:tcPr>
          <w:p w14:paraId="1A68ED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Специалист должен знать и понимать:</w:t>
            </w:r>
          </w:p>
          <w:p w14:paraId="59AE8213">
            <w:pPr>
              <w:pStyle w:val="7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требования к качеству пространственных и табличных данных; </w:t>
            </w:r>
          </w:p>
          <w:p w14:paraId="5E831C9C">
            <w:pPr>
              <w:pStyle w:val="7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принципы проверки полноты, корректности, согласованности и сопоставимости данных; </w:t>
            </w:r>
          </w:p>
          <w:p w14:paraId="35C7720E">
            <w:pPr>
              <w:pStyle w:val="7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особенности работы с системами координат и геометрией пространственных объектов.</w:t>
            </w:r>
          </w:p>
        </w:tc>
        <w:tc>
          <w:tcPr>
            <w:tcW w:w="722" w:type="pct"/>
            <w:vMerge w:val="restart"/>
            <w:shd w:val="clear" w:color="auto" w:fill="auto"/>
            <w:vAlign w:val="center"/>
          </w:tcPr>
          <w:p w14:paraId="4B2C54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08430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0" w:type="pct"/>
            <w:shd w:val="clear" w:color="auto" w:fill="BEBEBE" w:themeFill="background1" w:themeFillShade="BF"/>
          </w:tcPr>
          <w:p w14:paraId="1C0BDD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48" w:type="pct"/>
            <w:shd w:val="clear" w:color="auto" w:fill="auto"/>
            <w:vAlign w:val="center"/>
          </w:tcPr>
          <w:p w14:paraId="271F88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645FD026">
            <w:pPr>
              <w:pStyle w:val="7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выполнять очистку и преобразование данных; </w:t>
            </w:r>
          </w:p>
          <w:p w14:paraId="6B253701">
            <w:pPr>
              <w:pStyle w:val="7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проверять геометрию, атрибуты и систему координат; выявлять пропуски, ошибки и несоответствия; </w:t>
            </w:r>
          </w:p>
          <w:p w14:paraId="40F4E52D">
            <w:pPr>
              <w:pStyle w:val="7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подготавливать данные для дальнейших расчетов; </w:t>
            </w:r>
          </w:p>
          <w:p w14:paraId="20BD3EB4">
            <w:pPr>
              <w:pStyle w:val="7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контролировать полноту результатов обработки.</w:t>
            </w:r>
          </w:p>
        </w:tc>
        <w:tc>
          <w:tcPr>
            <w:tcW w:w="722" w:type="pct"/>
            <w:vMerge w:val="continue"/>
            <w:shd w:val="clear" w:color="auto" w:fill="auto"/>
            <w:vAlign w:val="center"/>
          </w:tcPr>
          <w:p w14:paraId="6EE90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A6244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0" w:type="pct"/>
            <w:shd w:val="clear" w:color="auto" w:fill="BEBEBE" w:themeFill="background1" w:themeFillShade="BF"/>
          </w:tcPr>
          <w:p w14:paraId="61946B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948" w:type="pct"/>
            <w:shd w:val="clear" w:color="auto" w:fill="auto"/>
            <w:vAlign w:val="center"/>
          </w:tcPr>
          <w:p w14:paraId="5D0560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Обработка и интеграция транспортных данных</w:t>
            </w:r>
          </w:p>
        </w:tc>
        <w:tc>
          <w:tcPr>
            <w:tcW w:w="722" w:type="pct"/>
            <w:shd w:val="clear" w:color="auto" w:fill="auto"/>
            <w:vAlign w:val="center"/>
          </w:tcPr>
          <w:p w14:paraId="28EB8F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</w:tr>
      <w:tr w14:paraId="730CEA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0" w:type="pct"/>
            <w:shd w:val="clear" w:color="auto" w:fill="BEBEBE" w:themeFill="background1" w:themeFillShade="BF"/>
          </w:tcPr>
          <w:p w14:paraId="7ECBAF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48" w:type="pct"/>
            <w:shd w:val="clear" w:color="auto" w:fill="auto"/>
            <w:vAlign w:val="center"/>
          </w:tcPr>
          <w:p w14:paraId="0C7D6E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3AD58D73">
            <w:pPr>
              <w:pStyle w:val="7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методы обработки временных рядов; </w:t>
            </w:r>
          </w:p>
          <w:p w14:paraId="329BF33E">
            <w:pPr>
              <w:pStyle w:val="7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принципы агрегирования данных; </w:t>
            </w:r>
          </w:p>
          <w:p w14:paraId="312040CA">
            <w:pPr>
              <w:pStyle w:val="7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способы интеграции пространственных и атрибутивных данных; </w:t>
            </w:r>
          </w:p>
          <w:p w14:paraId="23B96A28">
            <w:pPr>
              <w:pStyle w:val="7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подходы к связыванию данных из различных источников по идентификаторам и пространственному положению.</w:t>
            </w:r>
          </w:p>
        </w:tc>
        <w:tc>
          <w:tcPr>
            <w:tcW w:w="722" w:type="pct"/>
            <w:vMerge w:val="restart"/>
            <w:shd w:val="clear" w:color="auto" w:fill="auto"/>
            <w:vAlign w:val="center"/>
          </w:tcPr>
          <w:p w14:paraId="76581C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7B226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0" w:type="pct"/>
            <w:shd w:val="clear" w:color="auto" w:fill="BEBEBE" w:themeFill="background1" w:themeFillShade="BF"/>
          </w:tcPr>
          <w:p w14:paraId="7275D8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48" w:type="pct"/>
            <w:shd w:val="clear" w:color="auto" w:fill="auto"/>
            <w:vAlign w:val="center"/>
          </w:tcPr>
          <w:p w14:paraId="1C314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7B92222F">
            <w:pPr>
              <w:pStyle w:val="7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обрабатывать временные ряды транспортных показателей;</w:t>
            </w:r>
          </w:p>
          <w:p w14:paraId="4C7E3174">
            <w:pPr>
              <w:pStyle w:val="7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рассчитывать итоговые и агрегированные характеристики; выполнять пространственное сопоставление объектов; </w:t>
            </w:r>
          </w:p>
          <w:p w14:paraId="50683162">
            <w:pPr>
              <w:pStyle w:val="7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связывать фактические данные с элементами транспортного графа; </w:t>
            </w:r>
          </w:p>
          <w:p w14:paraId="70F51920">
            <w:pPr>
              <w:pStyle w:val="7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согласованные наборы данных для последующего анализа.</w:t>
            </w:r>
          </w:p>
        </w:tc>
        <w:tc>
          <w:tcPr>
            <w:tcW w:w="722" w:type="pct"/>
            <w:vMerge w:val="continue"/>
            <w:shd w:val="clear" w:color="auto" w:fill="auto"/>
            <w:vAlign w:val="center"/>
          </w:tcPr>
          <w:p w14:paraId="02C53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E8A62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0" w:type="pct"/>
            <w:shd w:val="clear" w:color="auto" w:fill="BEBEBE" w:themeFill="background1" w:themeFillShade="BF"/>
          </w:tcPr>
          <w:p w14:paraId="7C7862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948" w:type="pct"/>
            <w:shd w:val="clear" w:color="auto" w:fill="auto"/>
            <w:vAlign w:val="center"/>
          </w:tcPr>
          <w:p w14:paraId="7E5019C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Транспортное моделирование, валидация и аналитика</w:t>
            </w:r>
          </w:p>
        </w:tc>
        <w:tc>
          <w:tcPr>
            <w:tcW w:w="722" w:type="pct"/>
            <w:shd w:val="clear" w:color="auto" w:fill="auto"/>
            <w:vAlign w:val="center"/>
          </w:tcPr>
          <w:p w14:paraId="5632D6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</w:t>
            </w:r>
          </w:p>
        </w:tc>
      </w:tr>
      <w:tr w14:paraId="706D11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0" w:type="pct"/>
            <w:shd w:val="clear" w:color="auto" w:fill="BEBEBE" w:themeFill="background1" w:themeFillShade="BF"/>
          </w:tcPr>
          <w:p w14:paraId="4D7DC9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48" w:type="pct"/>
            <w:shd w:val="clear" w:color="auto" w:fill="auto"/>
            <w:vAlign w:val="center"/>
          </w:tcPr>
          <w:p w14:paraId="7FA8A0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2DA1CC6B">
            <w:pPr>
              <w:pStyle w:val="7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принципы транспортного моделирования; </w:t>
            </w:r>
          </w:p>
          <w:p w14:paraId="379CACB1">
            <w:pPr>
              <w:pStyle w:val="7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назначение транспортных районов, графа транспортной сети и транспортных корреспонденций; </w:t>
            </w:r>
          </w:p>
          <w:p w14:paraId="27F8D943">
            <w:pPr>
              <w:pStyle w:val="7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методы оценки соответствия расчетных и фактических данных; </w:t>
            </w:r>
          </w:p>
          <w:p w14:paraId="4BB3871B">
            <w:pPr>
              <w:pStyle w:val="7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статистические, пространственные и сетевые показатели транспортной системы; </w:t>
            </w:r>
          </w:p>
          <w:p w14:paraId="49ACD5DC">
            <w:pPr>
              <w:pStyle w:val="7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методы визуального анализа транспортных данных.</w:t>
            </w:r>
          </w:p>
        </w:tc>
        <w:tc>
          <w:tcPr>
            <w:tcW w:w="722" w:type="pct"/>
            <w:vMerge w:val="restart"/>
            <w:shd w:val="clear" w:color="auto" w:fill="auto"/>
            <w:vAlign w:val="center"/>
          </w:tcPr>
          <w:p w14:paraId="5A25F2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7F4BB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9" w:hRule="atLeast"/>
        </w:trPr>
        <w:tc>
          <w:tcPr>
            <w:tcW w:w="330" w:type="pct"/>
            <w:shd w:val="clear" w:color="auto" w:fill="BEBEBE" w:themeFill="background1" w:themeFillShade="BF"/>
          </w:tcPr>
          <w:p w14:paraId="378BDB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48" w:type="pct"/>
            <w:shd w:val="clear" w:color="auto" w:fill="auto"/>
            <w:vAlign w:val="center"/>
          </w:tcPr>
          <w:p w14:paraId="31D07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666CA5A2">
            <w:pPr>
              <w:pStyle w:val="7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подготавливать транспортную модель к расчету; </w:t>
            </w:r>
          </w:p>
          <w:p w14:paraId="0E0317E1">
            <w:pPr>
              <w:pStyle w:val="7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выполнять расчет транспортного сценария; </w:t>
            </w:r>
          </w:p>
          <w:p w14:paraId="44E8FE56">
            <w:pPr>
              <w:pStyle w:val="7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анализировать интенсивность, скорость и пассажиропоток; </w:t>
            </w:r>
          </w:p>
          <w:p w14:paraId="4EFE5FCA">
            <w:pPr>
              <w:pStyle w:val="7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сопоставлять результаты моделирования с фактическими измерениями; </w:t>
            </w:r>
          </w:p>
          <w:p w14:paraId="2E870417">
            <w:pPr>
              <w:pStyle w:val="7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рассчитывать показатели качества модели; </w:t>
            </w:r>
          </w:p>
          <w:p w14:paraId="1A2834D3">
            <w:pPr>
              <w:pStyle w:val="7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выявлять участки с наибольшими отклонениями, перегруженные участки и потенциальные узкие места; </w:t>
            </w:r>
          </w:p>
          <w:p w14:paraId="3E85BE62">
            <w:pPr>
              <w:pStyle w:val="7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оценивать транспортную доступность и корреспонденции;</w:t>
            </w:r>
          </w:p>
          <w:p w14:paraId="0089DEA7">
            <w:pPr>
              <w:pStyle w:val="7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формировать аналитические выводы и предложения по изменению транспортной системы; </w:t>
            </w:r>
          </w:p>
          <w:p w14:paraId="7A0A1CDD">
            <w:pPr>
              <w:pStyle w:val="7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представлять результаты на интерактивном дашборде.</w:t>
            </w:r>
          </w:p>
        </w:tc>
        <w:tc>
          <w:tcPr>
            <w:tcW w:w="722" w:type="pct"/>
            <w:vMerge w:val="continue"/>
            <w:shd w:val="clear" w:color="auto" w:fill="auto"/>
            <w:vAlign w:val="center"/>
          </w:tcPr>
          <w:p w14:paraId="51268B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729FD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0" w:type="pct"/>
            <w:shd w:val="clear" w:color="auto" w:fill="BEBEBE" w:themeFill="background1" w:themeFillShade="BF"/>
          </w:tcPr>
          <w:p w14:paraId="3D724B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948" w:type="pct"/>
            <w:shd w:val="clear" w:color="auto" w:fill="auto"/>
            <w:vAlign w:val="center"/>
          </w:tcPr>
          <w:p w14:paraId="78A2460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Обеспечение охраны труда</w:t>
            </w:r>
          </w:p>
        </w:tc>
        <w:tc>
          <w:tcPr>
            <w:tcW w:w="722" w:type="pct"/>
            <w:shd w:val="clear" w:color="auto" w:fill="auto"/>
            <w:vAlign w:val="center"/>
          </w:tcPr>
          <w:p w14:paraId="1A5C86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14:paraId="682160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0" w:type="pct"/>
            <w:shd w:val="clear" w:color="auto" w:fill="BEBEBE" w:themeFill="background1" w:themeFillShade="BF"/>
          </w:tcPr>
          <w:p w14:paraId="7EFF2D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48" w:type="pct"/>
            <w:shd w:val="clear" w:color="auto" w:fill="auto"/>
            <w:vAlign w:val="center"/>
          </w:tcPr>
          <w:p w14:paraId="3279CE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6F263EC9">
            <w:pPr>
              <w:pStyle w:val="7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требования охраны труда и безопасной работы с компьютерным оборудованием и программными средствами и соблюдать правила организации рабочего места и эксплуатации предоставленной инфраструктуры.</w:t>
            </w:r>
          </w:p>
        </w:tc>
        <w:tc>
          <w:tcPr>
            <w:tcW w:w="722" w:type="pct"/>
            <w:vMerge w:val="restart"/>
            <w:shd w:val="clear" w:color="auto" w:fill="auto"/>
            <w:vAlign w:val="center"/>
          </w:tcPr>
          <w:p w14:paraId="609E55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9CC29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0" w:type="pct"/>
            <w:shd w:val="clear" w:color="auto" w:fill="BEBEBE" w:themeFill="background1" w:themeFillShade="BF"/>
          </w:tcPr>
          <w:p w14:paraId="10670A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48" w:type="pct"/>
            <w:shd w:val="clear" w:color="auto" w:fill="auto"/>
            <w:vAlign w:val="center"/>
          </w:tcPr>
          <w:p w14:paraId="7D9B0E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Специалист должен уметь:</w:t>
            </w:r>
          </w:p>
          <w:p w14:paraId="66142837">
            <w:pPr>
              <w:pStyle w:val="7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предотвращать перегрузки систем, которые могут привести к сбоям;</w:t>
            </w:r>
          </w:p>
          <w:p w14:paraId="7D8D16B3">
            <w:pPr>
              <w:pStyle w:val="7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обеспечивать безопасный доступ к данным, предотвращать несанкционированное вмешательств;</w:t>
            </w:r>
          </w:p>
          <w:p w14:paraId="400D8DC2">
            <w:pPr>
              <w:pStyle w:val="7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фиксировать инструкции по безопасному эксплуатации систем и процедуры аварийного реагирования.</w:t>
            </w:r>
          </w:p>
        </w:tc>
        <w:tc>
          <w:tcPr>
            <w:tcW w:w="722" w:type="pct"/>
            <w:vMerge w:val="continue"/>
            <w:shd w:val="clear" w:color="auto" w:fill="auto"/>
            <w:vAlign w:val="center"/>
          </w:tcPr>
          <w:p w14:paraId="32A3C9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6F61D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0" w:type="pct"/>
            <w:shd w:val="clear" w:color="auto" w:fill="BEBEBE" w:themeFill="background1" w:themeFillShade="BF"/>
          </w:tcPr>
          <w:p w14:paraId="027583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948" w:type="pct"/>
            <w:shd w:val="clear" w:color="auto" w:fill="auto"/>
            <w:vAlign w:val="center"/>
          </w:tcPr>
          <w:p w14:paraId="0F152AE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Использование принципов бережливого производства</w:t>
            </w:r>
          </w:p>
        </w:tc>
        <w:tc>
          <w:tcPr>
            <w:tcW w:w="722" w:type="pct"/>
            <w:shd w:val="clear" w:color="auto" w:fill="auto"/>
            <w:vAlign w:val="center"/>
          </w:tcPr>
          <w:p w14:paraId="36E212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14:paraId="3A6A1A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0" w:type="pct"/>
            <w:shd w:val="clear" w:color="auto" w:fill="BEBEBE" w:themeFill="background1" w:themeFillShade="BF"/>
          </w:tcPr>
          <w:p w14:paraId="017F96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48" w:type="pct"/>
            <w:shd w:val="clear" w:color="auto" w:fill="auto"/>
            <w:vAlign w:val="center"/>
          </w:tcPr>
          <w:p w14:paraId="622B00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37DD499C">
            <w:pPr>
              <w:pStyle w:val="7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принципы рациональной организации процессов работы с данными; </w:t>
            </w:r>
          </w:p>
          <w:p w14:paraId="68A67D9F">
            <w:pPr>
              <w:pStyle w:val="7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причины возникновения избыточных операций, повторной обработки и ручного дублирования действий.</w:t>
            </w:r>
          </w:p>
        </w:tc>
        <w:tc>
          <w:tcPr>
            <w:tcW w:w="722" w:type="pct"/>
            <w:vMerge w:val="restart"/>
            <w:shd w:val="clear" w:color="auto" w:fill="auto"/>
            <w:vAlign w:val="center"/>
          </w:tcPr>
          <w:p w14:paraId="3B3A5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D1734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0" w:type="pct"/>
            <w:shd w:val="clear" w:color="auto" w:fill="BEBEBE" w:themeFill="background1" w:themeFillShade="BF"/>
          </w:tcPr>
          <w:p w14:paraId="3FAC44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48" w:type="pct"/>
            <w:shd w:val="clear" w:color="auto" w:fill="auto"/>
            <w:vAlign w:val="center"/>
          </w:tcPr>
          <w:p w14:paraId="1EF37B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2590125A">
            <w:pPr>
              <w:pStyle w:val="7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организовывать обработку данных без необоснованного дублирования;</w:t>
            </w:r>
          </w:p>
          <w:p w14:paraId="26C578EC">
            <w:pPr>
              <w:pStyle w:val="7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повторно использовать подготовленные данные в последующих этапах; </w:t>
            </w:r>
          </w:p>
          <w:p w14:paraId="3B938AC8">
            <w:pPr>
              <w:pStyle w:val="7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обеспечивать сквозное использование результатов модулей; </w:t>
            </w:r>
          </w:p>
          <w:p w14:paraId="4C17ABE2">
            <w:pPr>
              <w:pStyle w:val="7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минимизировать ручное объединение данных и повторное выполнение одинаковых операций.</w:t>
            </w:r>
          </w:p>
        </w:tc>
        <w:tc>
          <w:tcPr>
            <w:tcW w:w="722" w:type="pct"/>
            <w:vMerge w:val="continue"/>
            <w:shd w:val="clear" w:color="auto" w:fill="auto"/>
            <w:vAlign w:val="center"/>
          </w:tcPr>
          <w:p w14:paraId="0B2DC8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10"/>
    </w:tbl>
    <w:p w14:paraId="32D6207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vertAlign w:val="subscript"/>
        </w:rPr>
      </w:pPr>
    </w:p>
    <w:p w14:paraId="4FCB8557">
      <w:pPr>
        <w:pStyle w:val="3"/>
        <w:rPr>
          <w:lang w:val="ru-RU"/>
        </w:rPr>
      </w:pPr>
      <w:bookmarkStart w:id="11" w:name="_Toc78885655"/>
      <w:bookmarkStart w:id="12" w:name="_Toc229998025"/>
      <w:bookmarkStart w:id="13" w:name="_Toc216104739"/>
      <w:r>
        <w:rPr>
          <w:lang w:val="ru-RU"/>
        </w:rPr>
        <w:t>1.3. Требования к схеме оценки</w:t>
      </w:r>
      <w:bookmarkEnd w:id="11"/>
      <w:bookmarkEnd w:id="12"/>
      <w:bookmarkEnd w:id="13"/>
    </w:p>
    <w:p w14:paraId="6AE1C1DE">
      <w:pPr>
        <w:pStyle w:val="14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Сумма баллов, присуждаемых по каждому аспекту, должна попадать в диапазон баллов, определенных для каждого раздела компетенции, обозначенных в требованиях и указанных в таблице 2.</w:t>
      </w:r>
    </w:p>
    <w:p w14:paraId="62E202D6">
      <w:pPr>
        <w:pStyle w:val="14"/>
        <w:widowControl/>
        <w:ind w:firstLine="709"/>
        <w:jc w:val="right"/>
        <w:rPr>
          <w:rFonts w:ascii="Times New Roman" w:hAnsi="Times New Roman"/>
          <w:bCs/>
          <w:iCs/>
          <w:sz w:val="28"/>
          <w:szCs w:val="28"/>
          <w:lang w:val="ru-RU"/>
        </w:rPr>
      </w:pPr>
      <w:r>
        <w:rPr>
          <w:rFonts w:ascii="Times New Roman" w:hAnsi="Times New Roman"/>
          <w:bCs/>
          <w:iCs/>
          <w:sz w:val="28"/>
          <w:szCs w:val="28"/>
          <w:lang w:val="ru-RU"/>
        </w:rPr>
        <w:t>Таблица 2</w:t>
      </w:r>
    </w:p>
    <w:p w14:paraId="3AB63642">
      <w:pPr>
        <w:pStyle w:val="14"/>
        <w:widowControl/>
        <w:ind w:firstLine="709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Матрица пересчета требований компетенции в критерии оценки</w:t>
      </w:r>
    </w:p>
    <w:tbl>
      <w:tblPr>
        <w:tblStyle w:val="29"/>
        <w:tblW w:w="492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4"/>
        <w:gridCol w:w="577"/>
        <w:gridCol w:w="874"/>
        <w:gridCol w:w="874"/>
        <w:gridCol w:w="874"/>
        <w:gridCol w:w="874"/>
        <w:gridCol w:w="874"/>
        <w:gridCol w:w="874"/>
        <w:gridCol w:w="1939"/>
      </w:tblGrid>
      <w:tr w14:paraId="02E0B1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4" w:hRule="atLeast"/>
          <w:tblHeader/>
          <w:jc w:val="center"/>
        </w:trPr>
        <w:tc>
          <w:tcPr>
            <w:tcW w:w="3970" w:type="pct"/>
            <w:gridSpan w:val="8"/>
            <w:shd w:val="clear" w:color="auto" w:fill="92D050"/>
            <w:vAlign w:val="center"/>
          </w:tcPr>
          <w:p w14:paraId="6DB896B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Критерий/Модуль</w:t>
            </w:r>
          </w:p>
        </w:tc>
        <w:tc>
          <w:tcPr>
            <w:tcW w:w="1030" w:type="pct"/>
            <w:vMerge w:val="restart"/>
            <w:shd w:val="clear" w:color="auto" w:fill="92D050"/>
            <w:vAlign w:val="center"/>
          </w:tcPr>
          <w:p w14:paraId="4D61F91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Итого баллов</w:t>
            </w:r>
          </w:p>
          <w:p w14:paraId="103D465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за раздел Требований компетенции</w:t>
            </w:r>
          </w:p>
        </w:tc>
      </w:tr>
      <w:tr w14:paraId="0025F8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" w:hRule="atLeast"/>
          <w:jc w:val="center"/>
        </w:trPr>
        <w:tc>
          <w:tcPr>
            <w:tcW w:w="888" w:type="pct"/>
            <w:vMerge w:val="restart"/>
            <w:shd w:val="clear" w:color="auto" w:fill="92D050"/>
            <w:vAlign w:val="center"/>
          </w:tcPr>
          <w:p w14:paraId="17C78D8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Разделы Требований компетенции</w:t>
            </w:r>
          </w:p>
        </w:tc>
        <w:tc>
          <w:tcPr>
            <w:tcW w:w="306" w:type="pct"/>
            <w:shd w:val="clear" w:color="auto" w:fill="92D050"/>
            <w:vAlign w:val="center"/>
          </w:tcPr>
          <w:p w14:paraId="739CCF0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3" w:type="pct"/>
            <w:shd w:val="clear" w:color="auto" w:fill="00B050"/>
            <w:vAlign w:val="center"/>
          </w:tcPr>
          <w:p w14:paraId="63D1A96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 w:eastAsia="ru-RU"/>
              </w:rPr>
              <w:t>A</w:t>
            </w:r>
          </w:p>
        </w:tc>
        <w:tc>
          <w:tcPr>
            <w:tcW w:w="463" w:type="pct"/>
            <w:shd w:val="clear" w:color="auto" w:fill="00B050"/>
            <w:vAlign w:val="center"/>
          </w:tcPr>
          <w:p w14:paraId="27566E8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463" w:type="pct"/>
            <w:shd w:val="clear" w:color="auto" w:fill="00B050"/>
            <w:vAlign w:val="center"/>
          </w:tcPr>
          <w:p w14:paraId="4D766C0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463" w:type="pct"/>
            <w:shd w:val="clear" w:color="auto" w:fill="00B050"/>
            <w:vAlign w:val="center"/>
          </w:tcPr>
          <w:p w14:paraId="1672E28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463" w:type="pct"/>
            <w:shd w:val="clear" w:color="auto" w:fill="00B050"/>
            <w:vAlign w:val="center"/>
          </w:tcPr>
          <w:p w14:paraId="2E2FDF8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463" w:type="pct"/>
            <w:shd w:val="clear" w:color="auto" w:fill="00B050"/>
            <w:vAlign w:val="center"/>
          </w:tcPr>
          <w:p w14:paraId="15BCD1F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1030" w:type="pct"/>
            <w:vMerge w:val="continue"/>
            <w:shd w:val="clear" w:color="auto" w:fill="00B050"/>
            <w:vAlign w:val="center"/>
          </w:tcPr>
          <w:p w14:paraId="5E978614">
            <w:pPr>
              <w:spacing w:after="0" w:line="240" w:lineRule="auto"/>
              <w:ind w:right="172" w:hanging="176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14:paraId="610DCA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" w:hRule="atLeast"/>
          <w:jc w:val="center"/>
        </w:trPr>
        <w:tc>
          <w:tcPr>
            <w:tcW w:w="888" w:type="pct"/>
            <w:vMerge w:val="continue"/>
            <w:shd w:val="clear" w:color="auto" w:fill="92D050"/>
            <w:vAlign w:val="center"/>
          </w:tcPr>
          <w:p w14:paraId="3180A24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06" w:type="pct"/>
            <w:shd w:val="clear" w:color="auto" w:fill="00B050"/>
            <w:vAlign w:val="center"/>
          </w:tcPr>
          <w:p w14:paraId="4A4A565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853" w:type="dxa"/>
            <w:vAlign w:val="center"/>
          </w:tcPr>
          <w:p w14:paraId="2933F22C">
            <w:pPr>
              <w:spacing w:after="0" w:line="240" w:lineRule="auto"/>
              <w:ind w:left="-110" w:right="-143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853" w:type="dxa"/>
            <w:vAlign w:val="center"/>
          </w:tcPr>
          <w:p w14:paraId="09BF8D35">
            <w:pPr>
              <w:spacing w:after="0" w:line="240" w:lineRule="auto"/>
              <w:ind w:left="-110" w:right="-143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853" w:type="dxa"/>
            <w:vAlign w:val="center"/>
          </w:tcPr>
          <w:p w14:paraId="5311E34C">
            <w:pPr>
              <w:spacing w:after="0" w:line="240" w:lineRule="auto"/>
              <w:ind w:left="-110" w:right="-143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853" w:type="dxa"/>
            <w:vAlign w:val="center"/>
          </w:tcPr>
          <w:p w14:paraId="611830EE">
            <w:pPr>
              <w:spacing w:after="0" w:line="240" w:lineRule="auto"/>
              <w:ind w:left="-110" w:right="-143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853" w:type="dxa"/>
            <w:vAlign w:val="center"/>
          </w:tcPr>
          <w:p w14:paraId="11D8000C">
            <w:pPr>
              <w:spacing w:after="0" w:line="240" w:lineRule="auto"/>
              <w:ind w:left="-110" w:right="-143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853" w:type="dxa"/>
            <w:vAlign w:val="center"/>
          </w:tcPr>
          <w:p w14:paraId="358924AC">
            <w:pPr>
              <w:spacing w:after="0" w:line="240" w:lineRule="auto"/>
              <w:ind w:left="-110" w:right="-143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1030" w:type="pct"/>
            <w:shd w:val="clear" w:color="auto" w:fill="F1F1F1" w:themeFill="background1" w:themeFillShade="F2"/>
            <w:vAlign w:val="center"/>
          </w:tcPr>
          <w:p w14:paraId="1DBEF0AA">
            <w:pPr>
              <w:spacing w:after="0" w:line="240" w:lineRule="auto"/>
              <w:ind w:left="-110" w:right="-143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ru-RU"/>
              </w:rPr>
              <w:t>10</w:t>
            </w:r>
          </w:p>
        </w:tc>
      </w:tr>
      <w:tr w14:paraId="0C858E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" w:hRule="atLeast"/>
          <w:jc w:val="center"/>
        </w:trPr>
        <w:tc>
          <w:tcPr>
            <w:tcW w:w="888" w:type="pct"/>
            <w:vMerge w:val="continue"/>
            <w:shd w:val="clear" w:color="auto" w:fill="92D050"/>
            <w:vAlign w:val="center"/>
          </w:tcPr>
          <w:p w14:paraId="330DA2B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06" w:type="pct"/>
            <w:shd w:val="clear" w:color="auto" w:fill="00B050"/>
            <w:vAlign w:val="center"/>
          </w:tcPr>
          <w:p w14:paraId="65AFA15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853" w:type="dxa"/>
            <w:vAlign w:val="center"/>
          </w:tcPr>
          <w:p w14:paraId="700A2706">
            <w:pPr>
              <w:spacing w:after="0" w:line="240" w:lineRule="auto"/>
              <w:ind w:left="-110" w:right="-143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53" w:type="dxa"/>
            <w:vAlign w:val="center"/>
          </w:tcPr>
          <w:p w14:paraId="6495B141">
            <w:pPr>
              <w:spacing w:after="0" w:line="240" w:lineRule="auto"/>
              <w:ind w:left="-110" w:right="-143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53" w:type="dxa"/>
            <w:vAlign w:val="center"/>
          </w:tcPr>
          <w:p w14:paraId="61C65B88">
            <w:pPr>
              <w:spacing w:after="0" w:line="240" w:lineRule="auto"/>
              <w:ind w:left="-110" w:right="-143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53" w:type="dxa"/>
            <w:vAlign w:val="center"/>
          </w:tcPr>
          <w:p w14:paraId="768419B3">
            <w:pPr>
              <w:spacing w:after="0" w:line="240" w:lineRule="auto"/>
              <w:ind w:left="-110" w:right="-143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853" w:type="dxa"/>
            <w:vAlign w:val="center"/>
          </w:tcPr>
          <w:p w14:paraId="493A645B">
            <w:pPr>
              <w:spacing w:after="0" w:line="240" w:lineRule="auto"/>
              <w:ind w:left="-110" w:right="-143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853" w:type="dxa"/>
            <w:vAlign w:val="center"/>
          </w:tcPr>
          <w:p w14:paraId="54DE214A">
            <w:pPr>
              <w:spacing w:after="0" w:line="240" w:lineRule="auto"/>
              <w:ind w:left="-110" w:right="-143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1030" w:type="pct"/>
            <w:shd w:val="clear" w:color="auto" w:fill="F1F1F1" w:themeFill="background1" w:themeFillShade="F2"/>
            <w:vAlign w:val="center"/>
          </w:tcPr>
          <w:p w14:paraId="207538CC">
            <w:pPr>
              <w:spacing w:after="0" w:line="240" w:lineRule="auto"/>
              <w:ind w:left="-110" w:right="-143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  <w:t>8</w:t>
            </w:r>
          </w:p>
        </w:tc>
      </w:tr>
      <w:tr w14:paraId="0522CD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" w:hRule="atLeast"/>
          <w:jc w:val="center"/>
        </w:trPr>
        <w:tc>
          <w:tcPr>
            <w:tcW w:w="888" w:type="pct"/>
            <w:vMerge w:val="continue"/>
            <w:shd w:val="clear" w:color="auto" w:fill="92D050"/>
            <w:vAlign w:val="center"/>
          </w:tcPr>
          <w:p w14:paraId="5B95E54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06" w:type="pct"/>
            <w:shd w:val="clear" w:color="auto" w:fill="00B050"/>
            <w:vAlign w:val="center"/>
          </w:tcPr>
          <w:p w14:paraId="0188327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53" w:type="dxa"/>
            <w:vAlign w:val="center"/>
          </w:tcPr>
          <w:p w14:paraId="12E80A17">
            <w:pPr>
              <w:spacing w:after="0" w:line="240" w:lineRule="auto"/>
              <w:ind w:left="-110" w:right="-143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  <w:t>13</w:t>
            </w:r>
          </w:p>
        </w:tc>
        <w:tc>
          <w:tcPr>
            <w:tcW w:w="853" w:type="dxa"/>
            <w:vAlign w:val="center"/>
          </w:tcPr>
          <w:p w14:paraId="5B96ABE4">
            <w:pPr>
              <w:spacing w:after="0" w:line="240" w:lineRule="auto"/>
              <w:ind w:left="-110" w:right="-143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53" w:type="dxa"/>
            <w:vAlign w:val="center"/>
          </w:tcPr>
          <w:p w14:paraId="3D2682E7">
            <w:pPr>
              <w:spacing w:after="0" w:line="240" w:lineRule="auto"/>
              <w:ind w:left="-110" w:right="-143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53" w:type="dxa"/>
            <w:vAlign w:val="center"/>
          </w:tcPr>
          <w:p w14:paraId="74FEEA23">
            <w:pPr>
              <w:spacing w:after="0" w:line="240" w:lineRule="auto"/>
              <w:ind w:left="-110" w:right="-143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53" w:type="dxa"/>
            <w:vAlign w:val="center"/>
          </w:tcPr>
          <w:p w14:paraId="6F20E70C">
            <w:pPr>
              <w:spacing w:after="0" w:line="240" w:lineRule="auto"/>
              <w:ind w:left="-110" w:right="-143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53" w:type="dxa"/>
            <w:vAlign w:val="center"/>
          </w:tcPr>
          <w:p w14:paraId="619ECE14">
            <w:pPr>
              <w:spacing w:after="0" w:line="240" w:lineRule="auto"/>
              <w:ind w:left="-110" w:right="-143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030" w:type="pct"/>
            <w:shd w:val="clear" w:color="auto" w:fill="F1F1F1" w:themeFill="background1" w:themeFillShade="F2"/>
            <w:vAlign w:val="center"/>
          </w:tcPr>
          <w:p w14:paraId="1177C831">
            <w:pPr>
              <w:spacing w:after="0" w:line="240" w:lineRule="auto"/>
              <w:ind w:left="-110" w:right="-143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  <w:t>14</w:t>
            </w:r>
          </w:p>
        </w:tc>
      </w:tr>
      <w:tr w14:paraId="3BA98A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" w:hRule="atLeast"/>
          <w:jc w:val="center"/>
        </w:trPr>
        <w:tc>
          <w:tcPr>
            <w:tcW w:w="888" w:type="pct"/>
            <w:vMerge w:val="continue"/>
            <w:shd w:val="clear" w:color="auto" w:fill="92D050"/>
            <w:vAlign w:val="center"/>
          </w:tcPr>
          <w:p w14:paraId="0CECD36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06" w:type="pct"/>
            <w:shd w:val="clear" w:color="auto" w:fill="00B050"/>
            <w:vAlign w:val="center"/>
          </w:tcPr>
          <w:p w14:paraId="6A5BB14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853" w:type="dxa"/>
            <w:vAlign w:val="center"/>
          </w:tcPr>
          <w:p w14:paraId="7471B534">
            <w:pPr>
              <w:spacing w:after="0" w:line="240" w:lineRule="auto"/>
              <w:ind w:left="-110" w:right="-143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53" w:type="dxa"/>
            <w:vAlign w:val="center"/>
          </w:tcPr>
          <w:p w14:paraId="683C4A6D">
            <w:pPr>
              <w:spacing w:after="0" w:line="240" w:lineRule="auto"/>
              <w:ind w:left="-110" w:right="-143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  <w:t>13</w:t>
            </w:r>
          </w:p>
        </w:tc>
        <w:tc>
          <w:tcPr>
            <w:tcW w:w="853" w:type="dxa"/>
            <w:vAlign w:val="center"/>
          </w:tcPr>
          <w:p w14:paraId="63795420">
            <w:pPr>
              <w:spacing w:after="0" w:line="240" w:lineRule="auto"/>
              <w:ind w:left="-110" w:right="-143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853" w:type="dxa"/>
            <w:vAlign w:val="center"/>
          </w:tcPr>
          <w:p w14:paraId="2D9D42F9">
            <w:pPr>
              <w:spacing w:after="0" w:line="240" w:lineRule="auto"/>
              <w:ind w:left="-110" w:right="-143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53" w:type="dxa"/>
            <w:vAlign w:val="center"/>
          </w:tcPr>
          <w:p w14:paraId="3FB3EFA8">
            <w:pPr>
              <w:spacing w:after="0" w:line="240" w:lineRule="auto"/>
              <w:ind w:left="-110" w:right="-143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53" w:type="dxa"/>
            <w:vAlign w:val="center"/>
          </w:tcPr>
          <w:p w14:paraId="5F80B944">
            <w:pPr>
              <w:spacing w:after="0" w:line="240" w:lineRule="auto"/>
              <w:ind w:left="-110" w:right="-143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030" w:type="pct"/>
            <w:shd w:val="clear" w:color="auto" w:fill="F1F1F1" w:themeFill="background1" w:themeFillShade="F2"/>
            <w:vAlign w:val="center"/>
          </w:tcPr>
          <w:p w14:paraId="09D3A2D6">
            <w:pPr>
              <w:spacing w:after="0" w:line="240" w:lineRule="auto"/>
              <w:ind w:left="-110" w:right="-143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  <w:t>15</w:t>
            </w:r>
          </w:p>
        </w:tc>
      </w:tr>
      <w:tr w14:paraId="1C3B97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" w:hRule="atLeast"/>
          <w:jc w:val="center"/>
        </w:trPr>
        <w:tc>
          <w:tcPr>
            <w:tcW w:w="888" w:type="pct"/>
            <w:vMerge w:val="continue"/>
            <w:shd w:val="clear" w:color="auto" w:fill="92D050"/>
            <w:vAlign w:val="center"/>
          </w:tcPr>
          <w:p w14:paraId="24EEECD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06" w:type="pct"/>
            <w:shd w:val="clear" w:color="auto" w:fill="00B050"/>
            <w:vAlign w:val="center"/>
          </w:tcPr>
          <w:p w14:paraId="687805E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853" w:type="dxa"/>
            <w:vAlign w:val="center"/>
          </w:tcPr>
          <w:p w14:paraId="5B95F423">
            <w:pPr>
              <w:spacing w:after="0" w:line="240" w:lineRule="auto"/>
              <w:ind w:left="-110" w:right="-143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53" w:type="dxa"/>
            <w:vAlign w:val="center"/>
          </w:tcPr>
          <w:p w14:paraId="1D6FCC93">
            <w:pPr>
              <w:spacing w:after="0" w:line="240" w:lineRule="auto"/>
              <w:ind w:left="-110" w:right="-143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853" w:type="dxa"/>
            <w:vAlign w:val="center"/>
          </w:tcPr>
          <w:p w14:paraId="6D05EF11">
            <w:pPr>
              <w:spacing w:after="0" w:line="240" w:lineRule="auto"/>
              <w:ind w:left="-110" w:right="-143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  <w:t>12</w:t>
            </w:r>
          </w:p>
        </w:tc>
        <w:tc>
          <w:tcPr>
            <w:tcW w:w="853" w:type="dxa"/>
            <w:vAlign w:val="center"/>
          </w:tcPr>
          <w:p w14:paraId="4417E5D3">
            <w:pPr>
              <w:spacing w:after="0" w:line="240" w:lineRule="auto"/>
              <w:ind w:left="-110" w:right="-143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853" w:type="dxa"/>
            <w:vAlign w:val="center"/>
          </w:tcPr>
          <w:p w14:paraId="748E6BF5">
            <w:pPr>
              <w:spacing w:after="0" w:line="240" w:lineRule="auto"/>
              <w:ind w:left="-110" w:right="-143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53" w:type="dxa"/>
            <w:vAlign w:val="center"/>
          </w:tcPr>
          <w:p w14:paraId="5982DE35">
            <w:pPr>
              <w:spacing w:after="0" w:line="240" w:lineRule="auto"/>
              <w:ind w:left="-110" w:right="-143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030" w:type="pct"/>
            <w:shd w:val="clear" w:color="auto" w:fill="F1F1F1" w:themeFill="background1" w:themeFillShade="F2"/>
            <w:vAlign w:val="center"/>
          </w:tcPr>
          <w:p w14:paraId="22DD4788">
            <w:pPr>
              <w:spacing w:after="0" w:line="240" w:lineRule="auto"/>
              <w:ind w:left="-110" w:right="-143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  <w:t>18</w:t>
            </w:r>
          </w:p>
        </w:tc>
      </w:tr>
      <w:tr w14:paraId="2EA00C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" w:hRule="atLeast"/>
          <w:jc w:val="center"/>
        </w:trPr>
        <w:tc>
          <w:tcPr>
            <w:tcW w:w="888" w:type="pct"/>
            <w:vMerge w:val="continue"/>
            <w:shd w:val="clear" w:color="auto" w:fill="92D050"/>
            <w:vAlign w:val="center"/>
          </w:tcPr>
          <w:p w14:paraId="2E84348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06" w:type="pct"/>
            <w:shd w:val="clear" w:color="auto" w:fill="00B050"/>
            <w:vAlign w:val="center"/>
          </w:tcPr>
          <w:p w14:paraId="1C31D14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853" w:type="dxa"/>
            <w:vAlign w:val="center"/>
          </w:tcPr>
          <w:p w14:paraId="168E8EBA">
            <w:pPr>
              <w:spacing w:after="0" w:line="240" w:lineRule="auto"/>
              <w:ind w:left="-110" w:right="-143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53" w:type="dxa"/>
            <w:vAlign w:val="center"/>
          </w:tcPr>
          <w:p w14:paraId="70855475">
            <w:pPr>
              <w:spacing w:after="0" w:line="240" w:lineRule="auto"/>
              <w:ind w:left="-110" w:right="-143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53" w:type="dxa"/>
            <w:vAlign w:val="center"/>
          </w:tcPr>
          <w:p w14:paraId="7A7B6A48">
            <w:pPr>
              <w:spacing w:after="0" w:line="240" w:lineRule="auto"/>
              <w:ind w:left="-110" w:right="-143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53" w:type="dxa"/>
            <w:vAlign w:val="center"/>
          </w:tcPr>
          <w:p w14:paraId="44427F82">
            <w:pPr>
              <w:spacing w:after="0" w:line="240" w:lineRule="auto"/>
              <w:ind w:left="-110" w:right="-143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  <w:t>12</w:t>
            </w:r>
          </w:p>
        </w:tc>
        <w:tc>
          <w:tcPr>
            <w:tcW w:w="853" w:type="dxa"/>
            <w:vAlign w:val="center"/>
          </w:tcPr>
          <w:p w14:paraId="6CCD8ADB">
            <w:pPr>
              <w:spacing w:after="0" w:line="240" w:lineRule="auto"/>
              <w:ind w:left="-110" w:right="-143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  <w:t>13</w:t>
            </w:r>
          </w:p>
        </w:tc>
        <w:tc>
          <w:tcPr>
            <w:tcW w:w="853" w:type="dxa"/>
            <w:vAlign w:val="center"/>
          </w:tcPr>
          <w:p w14:paraId="3730A6A7">
            <w:pPr>
              <w:spacing w:after="0" w:line="240" w:lineRule="auto"/>
              <w:ind w:left="-110" w:right="-143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030" w:type="pct"/>
            <w:shd w:val="clear" w:color="auto" w:fill="F1F1F1" w:themeFill="background1" w:themeFillShade="F2"/>
            <w:vAlign w:val="center"/>
          </w:tcPr>
          <w:p w14:paraId="7062E20B">
            <w:pPr>
              <w:spacing w:after="0" w:line="240" w:lineRule="auto"/>
              <w:ind w:left="-110" w:right="-143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  <w:t>25</w:t>
            </w:r>
          </w:p>
        </w:tc>
      </w:tr>
      <w:tr w14:paraId="4E6C61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" w:hRule="atLeast"/>
          <w:jc w:val="center"/>
        </w:trPr>
        <w:tc>
          <w:tcPr>
            <w:tcW w:w="888" w:type="pct"/>
            <w:vMerge w:val="continue"/>
            <w:shd w:val="clear" w:color="auto" w:fill="92D050"/>
            <w:vAlign w:val="center"/>
          </w:tcPr>
          <w:p w14:paraId="474770E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06" w:type="pct"/>
            <w:shd w:val="clear" w:color="auto" w:fill="00B050"/>
            <w:vAlign w:val="center"/>
          </w:tcPr>
          <w:p w14:paraId="0BDD465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3" w:type="dxa"/>
            <w:vAlign w:val="center"/>
          </w:tcPr>
          <w:p w14:paraId="6378E1B2">
            <w:pPr>
              <w:spacing w:after="0" w:line="240" w:lineRule="auto"/>
              <w:ind w:left="-110" w:right="-143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853" w:type="dxa"/>
            <w:vAlign w:val="center"/>
          </w:tcPr>
          <w:p w14:paraId="501AD3C3">
            <w:pPr>
              <w:spacing w:after="0" w:line="240" w:lineRule="auto"/>
              <w:ind w:left="-110" w:right="-143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853" w:type="dxa"/>
            <w:vAlign w:val="center"/>
          </w:tcPr>
          <w:p w14:paraId="38397E28">
            <w:pPr>
              <w:spacing w:after="0" w:line="240" w:lineRule="auto"/>
              <w:ind w:left="-110" w:right="-143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853" w:type="dxa"/>
            <w:vAlign w:val="center"/>
          </w:tcPr>
          <w:p w14:paraId="655E47AB">
            <w:pPr>
              <w:spacing w:after="0" w:line="240" w:lineRule="auto"/>
              <w:ind w:left="-110" w:right="-143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853" w:type="dxa"/>
            <w:vAlign w:val="center"/>
          </w:tcPr>
          <w:p w14:paraId="5ADFBFC6">
            <w:pPr>
              <w:spacing w:after="0" w:line="240" w:lineRule="auto"/>
              <w:ind w:left="-110" w:right="-143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53" w:type="dxa"/>
            <w:vAlign w:val="center"/>
          </w:tcPr>
          <w:p w14:paraId="25AF3E4E">
            <w:pPr>
              <w:spacing w:after="0" w:line="240" w:lineRule="auto"/>
              <w:ind w:left="-110" w:right="-143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030" w:type="pct"/>
            <w:shd w:val="clear" w:color="auto" w:fill="F1F1F1" w:themeFill="background1" w:themeFillShade="F2"/>
            <w:vAlign w:val="center"/>
          </w:tcPr>
          <w:p w14:paraId="146B7B8A">
            <w:pPr>
              <w:spacing w:after="0" w:line="240" w:lineRule="auto"/>
              <w:ind w:left="-110" w:right="-143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</w:tr>
      <w:tr w14:paraId="4E5C6A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" w:hRule="atLeast"/>
          <w:jc w:val="center"/>
        </w:trPr>
        <w:tc>
          <w:tcPr>
            <w:tcW w:w="888" w:type="pct"/>
            <w:vMerge w:val="continue"/>
            <w:shd w:val="clear" w:color="auto" w:fill="92D050"/>
            <w:vAlign w:val="center"/>
          </w:tcPr>
          <w:p w14:paraId="73BBB8D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06" w:type="pct"/>
            <w:shd w:val="clear" w:color="auto" w:fill="00B050"/>
            <w:vAlign w:val="center"/>
          </w:tcPr>
          <w:p w14:paraId="2EA425F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3" w:type="dxa"/>
            <w:vAlign w:val="center"/>
          </w:tcPr>
          <w:p w14:paraId="7D678E64">
            <w:pPr>
              <w:spacing w:after="0" w:line="240" w:lineRule="auto"/>
              <w:ind w:left="-110" w:right="-143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853" w:type="dxa"/>
            <w:vAlign w:val="center"/>
          </w:tcPr>
          <w:p w14:paraId="4BC8BB2B">
            <w:pPr>
              <w:spacing w:after="0" w:line="240" w:lineRule="auto"/>
              <w:ind w:left="-110" w:right="-143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853" w:type="dxa"/>
            <w:vAlign w:val="center"/>
          </w:tcPr>
          <w:p w14:paraId="5C9DAA1E">
            <w:pPr>
              <w:spacing w:after="0" w:line="240" w:lineRule="auto"/>
              <w:ind w:left="-110" w:right="-143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853" w:type="dxa"/>
            <w:vAlign w:val="center"/>
          </w:tcPr>
          <w:p w14:paraId="3246B97E">
            <w:pPr>
              <w:spacing w:after="0" w:line="240" w:lineRule="auto"/>
              <w:ind w:left="-110" w:right="-143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853" w:type="dxa"/>
            <w:vAlign w:val="center"/>
          </w:tcPr>
          <w:p w14:paraId="181D44D4">
            <w:pPr>
              <w:spacing w:after="0" w:line="240" w:lineRule="auto"/>
              <w:ind w:left="-110" w:right="-143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53" w:type="dxa"/>
            <w:vAlign w:val="center"/>
          </w:tcPr>
          <w:p w14:paraId="2F77E4A4">
            <w:pPr>
              <w:spacing w:after="0" w:line="240" w:lineRule="auto"/>
              <w:ind w:left="-110" w:right="-143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030" w:type="pct"/>
            <w:shd w:val="clear" w:color="auto" w:fill="F1F1F1" w:themeFill="background1" w:themeFillShade="F2"/>
            <w:vAlign w:val="center"/>
          </w:tcPr>
          <w:p w14:paraId="4D5EDADA">
            <w:pPr>
              <w:spacing w:after="0" w:line="240" w:lineRule="auto"/>
              <w:ind w:left="-110" w:right="-143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</w:tr>
      <w:tr w14:paraId="4A5209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" w:hRule="atLeast"/>
          <w:jc w:val="center"/>
        </w:trPr>
        <w:tc>
          <w:tcPr>
            <w:tcW w:w="1194" w:type="pct"/>
            <w:gridSpan w:val="2"/>
            <w:shd w:val="clear" w:color="auto" w:fill="00B050"/>
            <w:vAlign w:val="center"/>
          </w:tcPr>
          <w:p w14:paraId="1003B2F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Итого баллов за критерий/модуль</w:t>
            </w:r>
          </w:p>
        </w:tc>
        <w:tc>
          <w:tcPr>
            <w:tcW w:w="463" w:type="pct"/>
            <w:shd w:val="clear" w:color="auto" w:fill="F1F1F1" w:themeFill="background1" w:themeFillShade="F2"/>
            <w:vAlign w:val="center"/>
          </w:tcPr>
          <w:p w14:paraId="7EF6D498">
            <w:pPr>
              <w:spacing w:after="0" w:line="240" w:lineRule="auto"/>
              <w:ind w:left="-116" w:right="-77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val="en-US" w:eastAsia="ru-RU"/>
              </w:rPr>
              <w:t>18</w:t>
            </w:r>
          </w:p>
        </w:tc>
        <w:tc>
          <w:tcPr>
            <w:tcW w:w="463" w:type="pct"/>
            <w:shd w:val="clear" w:color="auto" w:fill="F1F1F1" w:themeFill="background1" w:themeFillShade="F2"/>
            <w:vAlign w:val="center"/>
          </w:tcPr>
          <w:p w14:paraId="0824846F">
            <w:pPr>
              <w:spacing w:after="0" w:line="240" w:lineRule="auto"/>
              <w:ind w:left="-139" w:right="-55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val="en-US" w:eastAsia="ru-RU"/>
              </w:rPr>
              <w:t>20</w:t>
            </w:r>
          </w:p>
        </w:tc>
        <w:tc>
          <w:tcPr>
            <w:tcW w:w="463" w:type="pct"/>
            <w:shd w:val="clear" w:color="auto" w:fill="F1F1F1" w:themeFill="background1" w:themeFillShade="F2"/>
            <w:vAlign w:val="center"/>
          </w:tcPr>
          <w:p w14:paraId="05E06CB6">
            <w:pPr>
              <w:spacing w:after="0" w:line="240" w:lineRule="auto"/>
              <w:ind w:left="-161" w:right="-174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val="en-US" w:eastAsia="ru-RU"/>
              </w:rPr>
              <w:t>18</w:t>
            </w:r>
          </w:p>
        </w:tc>
        <w:tc>
          <w:tcPr>
            <w:tcW w:w="463" w:type="pct"/>
            <w:shd w:val="clear" w:color="auto" w:fill="F1F1F1" w:themeFill="background1" w:themeFillShade="F2"/>
            <w:vAlign w:val="center"/>
          </w:tcPr>
          <w:p w14:paraId="1EF3B17C">
            <w:pPr>
              <w:spacing w:after="0" w:line="240" w:lineRule="auto"/>
              <w:ind w:left="-42" w:right="-151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val="en-US" w:eastAsia="ru-RU"/>
              </w:rPr>
              <w:t>18</w:t>
            </w:r>
          </w:p>
        </w:tc>
        <w:tc>
          <w:tcPr>
            <w:tcW w:w="463" w:type="pct"/>
            <w:shd w:val="clear" w:color="auto" w:fill="F1F1F1" w:themeFill="background1" w:themeFillShade="F2"/>
            <w:vAlign w:val="center"/>
          </w:tcPr>
          <w:p w14:paraId="3B1B09F8">
            <w:pPr>
              <w:spacing w:after="0" w:line="240" w:lineRule="auto"/>
              <w:ind w:left="-116" w:right="-77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val="en-US" w:eastAsia="ru-RU"/>
              </w:rPr>
              <w:t>18</w:t>
            </w:r>
          </w:p>
        </w:tc>
        <w:tc>
          <w:tcPr>
            <w:tcW w:w="463" w:type="pct"/>
            <w:shd w:val="clear" w:color="auto" w:fill="F1F1F1" w:themeFill="background1" w:themeFillShade="F2"/>
            <w:vAlign w:val="center"/>
          </w:tcPr>
          <w:p w14:paraId="04FB6307">
            <w:pPr>
              <w:spacing w:after="0" w:line="240" w:lineRule="auto"/>
              <w:ind w:left="-116" w:right="-77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val="en-US" w:eastAsia="ru-RU"/>
              </w:rPr>
              <w:t>8</w:t>
            </w:r>
          </w:p>
        </w:tc>
        <w:tc>
          <w:tcPr>
            <w:tcW w:w="1030" w:type="pct"/>
            <w:shd w:val="clear" w:color="auto" w:fill="F1F1F1" w:themeFill="background1" w:themeFillShade="F2"/>
            <w:vAlign w:val="center"/>
          </w:tcPr>
          <w:p w14:paraId="5A6D2C2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</w:tbl>
    <w:p w14:paraId="73543367">
      <w:pPr>
        <w:pStyle w:val="65"/>
        <w:rPr>
          <w:szCs w:val="28"/>
        </w:rPr>
      </w:pPr>
    </w:p>
    <w:p w14:paraId="11FC54E3">
      <w:pPr>
        <w:pStyle w:val="3"/>
      </w:pPr>
      <w:bookmarkStart w:id="14" w:name="_Toc216104740"/>
      <w:bookmarkStart w:id="15" w:name="_Toc229998026"/>
      <w:r>
        <w:t>1.4. Спецификация оценки компетенции</w:t>
      </w:r>
      <w:bookmarkEnd w:id="14"/>
      <w:bookmarkEnd w:id="15"/>
    </w:p>
    <w:p w14:paraId="14A910D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 Конкурсного задания будет основываться на критериях, указанных в таблице 3.</w:t>
      </w:r>
    </w:p>
    <w:p w14:paraId="6BA8B225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Таблица 3</w:t>
      </w:r>
    </w:p>
    <w:p w14:paraId="6A038094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Оценка конкурсного задания</w:t>
      </w:r>
    </w:p>
    <w:tbl>
      <w:tblPr>
        <w:tblStyle w:val="29"/>
        <w:tblW w:w="5205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3395"/>
        <w:gridCol w:w="6028"/>
      </w:tblGrid>
      <w:tr w14:paraId="020B5F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blHeader/>
        </w:trPr>
        <w:tc>
          <w:tcPr>
            <w:tcW w:w="1975" w:type="pct"/>
            <w:gridSpan w:val="2"/>
            <w:shd w:val="clear" w:color="auto" w:fill="92D050"/>
          </w:tcPr>
          <w:p w14:paraId="3F044B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Критерий</w:t>
            </w:r>
          </w:p>
        </w:tc>
        <w:tc>
          <w:tcPr>
            <w:tcW w:w="3025" w:type="pct"/>
            <w:shd w:val="clear" w:color="auto" w:fill="92D050"/>
          </w:tcPr>
          <w:p w14:paraId="74088E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Методика проверки навыков в критерии</w:t>
            </w:r>
          </w:p>
        </w:tc>
      </w:tr>
      <w:tr w14:paraId="3193F1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" w:type="pct"/>
            <w:shd w:val="clear" w:color="auto" w:fill="00B050"/>
          </w:tcPr>
          <w:p w14:paraId="31834D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704" w:type="pct"/>
            <w:shd w:val="clear" w:color="auto" w:fill="92D050"/>
          </w:tcPr>
          <w:p w14:paraId="0904E8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Проектирование и разработка архитектуры инфраструктуры данных</w:t>
            </w:r>
          </w:p>
        </w:tc>
        <w:tc>
          <w:tcPr>
            <w:tcW w:w="3025" w:type="pct"/>
            <w:shd w:val="clear" w:color="auto" w:fill="auto"/>
          </w:tcPr>
          <w:p w14:paraId="6E8B589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Оценка проводится по полноте и корректности анализа требований, качеству диаграмм, логичности архитектуры инфраструктуры данных и соответствию созданной структуры базы данных задачам проекта.</w:t>
            </w:r>
          </w:p>
        </w:tc>
      </w:tr>
      <w:tr w14:paraId="312BC8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" w:type="pct"/>
            <w:shd w:val="clear" w:color="auto" w:fill="00B050"/>
          </w:tcPr>
          <w:p w14:paraId="0D33A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3395" w:type="dxa"/>
            <w:shd w:val="clear" w:color="auto" w:fill="92D050"/>
          </w:tcPr>
          <w:p w14:paraId="71A8FC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Сбор, подготовка и структурирование транспортных данных</w:t>
            </w:r>
          </w:p>
        </w:tc>
        <w:tc>
          <w:tcPr>
            <w:tcW w:w="3025" w:type="pct"/>
            <w:shd w:val="clear" w:color="auto" w:fill="auto"/>
          </w:tcPr>
          <w:p w14:paraId="367E0D2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Оценка проводится по полноте и корректности подготовки транспортной модели и пространственных данных, формированию транспортных районов, расчету и агрегированию показателей населения и рабочих мест, а также готовности подготовленных данных к дальнейшему моделированию.</w:t>
            </w:r>
          </w:p>
        </w:tc>
      </w:tr>
      <w:tr w14:paraId="7DCC7E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" w:type="pct"/>
            <w:shd w:val="clear" w:color="auto" w:fill="00B050"/>
          </w:tcPr>
          <w:p w14:paraId="1F0BB9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3395" w:type="dxa"/>
            <w:shd w:val="clear" w:color="auto" w:fill="92D050"/>
          </w:tcPr>
          <w:p w14:paraId="5F30A6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Обработка транспортных данных</w:t>
            </w:r>
          </w:p>
        </w:tc>
        <w:tc>
          <w:tcPr>
            <w:tcW w:w="3025" w:type="pct"/>
            <w:shd w:val="clear" w:color="auto" w:fill="auto"/>
          </w:tcPr>
          <w:p w14:paraId="78DAB6BF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Оценка проводится по корректности обработки и агрегирования данных транспортных детекторов, формированию требуемых временных показателей, пространственной привязке детекторов к элементам транспортного графа и загрузке результатов в базу данных для дальнейшего использования.</w:t>
            </w:r>
          </w:p>
        </w:tc>
      </w:tr>
      <w:tr w14:paraId="7AACE8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" w:type="pct"/>
            <w:shd w:val="clear" w:color="auto" w:fill="00B050"/>
          </w:tcPr>
          <w:p w14:paraId="20CCF2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3395" w:type="dxa"/>
            <w:shd w:val="clear" w:color="auto" w:fill="92D050"/>
          </w:tcPr>
          <w:p w14:paraId="0F332B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Сценарное моделирование и валидация модели</w:t>
            </w:r>
          </w:p>
        </w:tc>
        <w:tc>
          <w:tcPr>
            <w:tcW w:w="3025" w:type="pct"/>
            <w:shd w:val="clear" w:color="auto" w:fill="auto"/>
          </w:tcPr>
          <w:p w14:paraId="0B2091A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Оценка проводится по корректности подготовки и выполнения расчетного сценария транспортной модели, получению расчетных показателей, сопоставлению модельных и фактических данных, расчету показателей валидации и выявлению участков с наибольшими расхождениями.</w:t>
            </w:r>
          </w:p>
        </w:tc>
      </w:tr>
      <w:tr w14:paraId="6ADB26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" w:type="pct"/>
            <w:shd w:val="clear" w:color="auto" w:fill="00B050"/>
          </w:tcPr>
          <w:p w14:paraId="6C6C4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704" w:type="pct"/>
            <w:shd w:val="clear" w:color="auto" w:fill="92D050"/>
          </w:tcPr>
          <w:p w14:paraId="0E8152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Аналитика транспортных данных</w:t>
            </w:r>
          </w:p>
        </w:tc>
        <w:tc>
          <w:tcPr>
            <w:tcW w:w="3025" w:type="pct"/>
            <w:shd w:val="clear" w:color="auto" w:fill="auto"/>
          </w:tcPr>
          <w:p w14:paraId="7DE1430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Оценка проводится по полноте и обоснованности комплексного анализа транспортной системы, корректности рассчитанных пространственных и сетевых показателей, выявлению проблемных участков, формированию предложений TO-BE на основании результатов анализа и качеству интерактивного аналитического дашборда.</w:t>
            </w:r>
          </w:p>
        </w:tc>
      </w:tr>
      <w:tr w14:paraId="3094D2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" w:type="pct"/>
            <w:shd w:val="clear" w:color="auto" w:fill="00B050"/>
          </w:tcPr>
          <w:p w14:paraId="453F83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1704" w:type="pct"/>
            <w:shd w:val="clear" w:color="auto" w:fill="92D050"/>
          </w:tcPr>
          <w:p w14:paraId="395083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Документирование и представление проекта</w:t>
            </w:r>
          </w:p>
        </w:tc>
        <w:tc>
          <w:tcPr>
            <w:tcW w:w="3025" w:type="pct"/>
            <w:shd w:val="clear" w:color="auto" w:fill="auto"/>
          </w:tcPr>
          <w:p w14:paraId="5473327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Оценка проводится по полноте, точности и профессиональному уровню итоговой технической документации и презентационных материалов, качеству демонстрации сквозного решения и обоснованности представленных выводов рассчитанными показателями.</w:t>
            </w:r>
          </w:p>
        </w:tc>
      </w:tr>
    </w:tbl>
    <w:p w14:paraId="3D1705C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716F2F5">
      <w:pPr>
        <w:pStyle w:val="3"/>
        <w:rPr>
          <w:lang w:val="ru-RU"/>
        </w:rPr>
      </w:pPr>
      <w:bookmarkStart w:id="16" w:name="_Toc216104741"/>
      <w:bookmarkStart w:id="17" w:name="_Toc229998027"/>
      <w:r>
        <w:rPr>
          <w:lang w:val="ru-RU"/>
        </w:rPr>
        <w:t>1.5. Содержание конкурсного задания</w:t>
      </w:r>
      <w:bookmarkEnd w:id="16"/>
      <w:bookmarkEnd w:id="17"/>
    </w:p>
    <w:p w14:paraId="10C3EC16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Общая продолжительность Конкурсного задания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vertAlign w:val="superscript"/>
        </w:rPr>
        <w:footnoteReference w:id="0"/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u w:val="single"/>
        </w:rPr>
        <w:t>17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часов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u w:val="single"/>
        </w:rPr>
        <w:t>00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минут.</w:t>
      </w:r>
    </w:p>
    <w:p w14:paraId="58EFA52C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Количество конкурсных дней: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u w:val="single"/>
        </w:rPr>
        <w:t>3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дня.</w:t>
      </w:r>
    </w:p>
    <w:p w14:paraId="6A84CA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КЗ включает оценку по каждому из разделов требований компетенции.</w:t>
      </w:r>
    </w:p>
    <w:p w14:paraId="5FA5FC2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Оценка знаний конкурсанта проводится через практическое выполнение Конкурсного задания. </w:t>
      </w:r>
    </w:p>
    <w:p w14:paraId="0F9310F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736A365">
      <w:pPr>
        <w:pStyle w:val="65"/>
        <w:ind w:firstLine="0"/>
        <w:jc w:val="center"/>
        <w:rPr>
          <w:szCs w:val="28"/>
        </w:rPr>
      </w:pPr>
      <w:bookmarkStart w:id="18" w:name="_Toc229998028"/>
      <w:bookmarkStart w:id="19" w:name="_Toc216104742"/>
      <w:r>
        <w:rPr>
          <w:szCs w:val="28"/>
        </w:rPr>
        <w:t>1.5.1. Разработка/выбор конкурсного задания</w:t>
      </w:r>
      <w:bookmarkEnd w:id="18"/>
      <w:bookmarkEnd w:id="19"/>
    </w:p>
    <w:p w14:paraId="6B11BDC7">
      <w:pPr>
        <w:spacing w:after="0" w:line="360" w:lineRule="auto"/>
        <w:ind w:firstLine="851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Конкурсное задание состоит из </w:t>
      </w:r>
      <w:r>
        <w:rPr>
          <w:rFonts w:ascii="Times New Roman" w:hAnsi="Times New Roman" w:eastAsia="Times New Roman" w:cs="Times New Roman"/>
          <w:sz w:val="28"/>
          <w:szCs w:val="28"/>
          <w:u w:val="single"/>
          <w:lang w:eastAsia="ru-RU"/>
        </w:rPr>
        <w:t>6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модулей, включает обязательную к выполнению часть (инвариант) – </w:t>
      </w:r>
      <w:r>
        <w:rPr>
          <w:rFonts w:ascii="Times New Roman" w:hAnsi="Times New Roman" w:eastAsia="Times New Roman" w:cs="Times New Roman"/>
          <w:sz w:val="28"/>
          <w:szCs w:val="28"/>
          <w:u w:val="single"/>
          <w:lang w:eastAsia="ru-RU"/>
        </w:rPr>
        <w:t>4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модуля (А, Б, В, Г), и вариативную часть – </w:t>
      </w:r>
      <w:r>
        <w:rPr>
          <w:rFonts w:ascii="Times New Roman" w:hAnsi="Times New Roman" w:eastAsia="Times New Roman" w:cs="Times New Roman"/>
          <w:sz w:val="28"/>
          <w:szCs w:val="28"/>
          <w:u w:val="single"/>
          <w:lang w:eastAsia="ru-RU"/>
        </w:rPr>
        <w:t>2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модуля (Д, Е). Общее количество баллов конкурсного задания по всем модулям составляет 100.</w:t>
      </w:r>
    </w:p>
    <w:p w14:paraId="15DC719F">
      <w:pPr>
        <w:pStyle w:val="65"/>
        <w:jc w:val="center"/>
        <w:rPr>
          <w:szCs w:val="28"/>
        </w:rPr>
      </w:pPr>
      <w:bookmarkStart w:id="20" w:name="_Toc229998029"/>
      <w:bookmarkStart w:id="21" w:name="_Toc216104743"/>
    </w:p>
    <w:p w14:paraId="4FD4525E">
      <w:pPr>
        <w:pStyle w:val="65"/>
        <w:jc w:val="center"/>
        <w:rPr>
          <w:szCs w:val="28"/>
        </w:rPr>
      </w:pPr>
      <w:r>
        <w:rPr>
          <w:szCs w:val="28"/>
        </w:rPr>
        <w:t>1.5.2. Структура модулей конкурсного задания</w:t>
      </w:r>
      <w:bookmarkEnd w:id="20"/>
      <w:bookmarkEnd w:id="21"/>
    </w:p>
    <w:p w14:paraId="447D4EFA">
      <w:pPr>
        <w:spacing w:after="0" w:line="36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Введение</w:t>
      </w:r>
    </w:p>
    <w:p w14:paraId="1EC76462">
      <w:pPr>
        <w:spacing w:after="0" w:line="360" w:lineRule="auto"/>
        <w:ind w:firstLine="709"/>
        <w:jc w:val="both"/>
        <w:rPr>
          <w:rFonts w:hint="default" w:ascii="Times New Roman" w:hAnsi="Times New Roman" w:eastAsia="Times New Roman" w:cs="Times New Roman"/>
          <w:b w:val="0"/>
          <w:bCs w:val="0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b w:val="0"/>
          <w:bCs w:val="0"/>
          <w:sz w:val="28"/>
          <w:szCs w:val="28"/>
          <w:lang w:eastAsia="ru-RU"/>
        </w:rPr>
        <w:t>Вы — аналитик транспортных данных в проекте развития цифровой транспортной модели города. Вам поручено разработать информационно-аналитическое решение, объединяющее пространственные данные городской территории, транспортную модель, потоковые данные транспортных детекторов, результаты расчетов и инструменты аналитики.</w:t>
      </w:r>
    </w:p>
    <w:p w14:paraId="50887C86">
      <w:pPr>
        <w:spacing w:after="0" w:line="360" w:lineRule="auto"/>
        <w:ind w:firstLine="709"/>
        <w:jc w:val="both"/>
        <w:rPr>
          <w:rFonts w:hint="default" w:ascii="Times New Roman" w:hAnsi="Times New Roman" w:eastAsia="Times New Roman" w:cs="Times New Roman"/>
          <w:b w:val="0"/>
          <w:bCs w:val="0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b w:val="0"/>
          <w:bCs w:val="0"/>
          <w:sz w:val="28"/>
          <w:szCs w:val="28"/>
          <w:lang w:eastAsia="ru-RU"/>
        </w:rPr>
        <w:t>Разрабатываемая система должна обеспечивать сквозную работу с данными: от проектирования архитектуры и создания базы данных до подготовки транспортной модели, приема и обработки потока измерений, выполнения расчетных сценариев, валидации модели и представления результатов в интерактивном аналитическом интерфейсе.</w:t>
      </w:r>
    </w:p>
    <w:p w14:paraId="4D88EEFC">
      <w:pPr>
        <w:spacing w:after="0" w:line="360" w:lineRule="auto"/>
        <w:ind w:firstLine="709"/>
        <w:jc w:val="both"/>
        <w:rPr>
          <w:rFonts w:hint="default" w:ascii="Times New Roman" w:hAnsi="Times New Roman" w:eastAsia="Times New Roman" w:cs="Times New Roman"/>
          <w:b w:val="0"/>
          <w:bCs w:val="0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b w:val="0"/>
          <w:bCs w:val="0"/>
          <w:sz w:val="28"/>
          <w:szCs w:val="28"/>
          <w:lang w:eastAsia="ru-RU"/>
        </w:rPr>
        <w:t>Готовая система должна удовлетворять следующим условиям:</w:t>
      </w:r>
    </w:p>
    <w:p w14:paraId="20EB7B40">
      <w:pPr>
        <w:spacing w:after="0" w:line="360" w:lineRule="auto"/>
        <w:ind w:firstLine="709"/>
        <w:jc w:val="both"/>
        <w:rPr>
          <w:rFonts w:hint="default" w:ascii="Times New Roman" w:hAnsi="Times New Roman" w:eastAsia="Times New Roman" w:cs="Times New Roman"/>
          <w:b w:val="0"/>
          <w:bCs w:val="0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b w:val="0"/>
          <w:bCs w:val="0"/>
          <w:sz w:val="28"/>
          <w:szCs w:val="28"/>
          <w:lang w:eastAsia="ru-RU"/>
        </w:rPr>
        <w:t>1)  Архитектура решения должна объединять источники пространственных и транспортных данных, транспортную модель, контуры обработки данных, базу данных и средства аналитического представления результатов.</w:t>
      </w:r>
    </w:p>
    <w:p w14:paraId="3D327500">
      <w:pPr>
        <w:spacing w:after="0" w:line="360" w:lineRule="auto"/>
        <w:ind w:firstLine="709"/>
        <w:jc w:val="both"/>
        <w:rPr>
          <w:rFonts w:hint="default" w:ascii="Times New Roman" w:hAnsi="Times New Roman" w:eastAsia="Times New Roman" w:cs="Times New Roman"/>
          <w:b w:val="0"/>
          <w:bCs w:val="0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b w:val="0"/>
          <w:bCs w:val="0"/>
          <w:sz w:val="28"/>
          <w:szCs w:val="28"/>
          <w:lang w:eastAsia="ru-RU"/>
        </w:rPr>
        <w:t>2)  Исходные, промежуточные, расчетные и аналитические данные должны храниться в согласованной структуре и быть доступны для использования в последующих модулях проекта.</w:t>
      </w:r>
    </w:p>
    <w:p w14:paraId="6F3884C7">
      <w:pPr>
        <w:spacing w:after="0" w:line="360" w:lineRule="auto"/>
        <w:ind w:firstLine="709"/>
        <w:jc w:val="both"/>
        <w:rPr>
          <w:rFonts w:hint="default" w:ascii="Times New Roman" w:hAnsi="Times New Roman" w:eastAsia="Times New Roman" w:cs="Times New Roman"/>
          <w:b w:val="0"/>
          <w:bCs w:val="0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b w:val="0"/>
          <w:bCs w:val="0"/>
          <w:sz w:val="28"/>
          <w:szCs w:val="28"/>
          <w:lang w:eastAsia="ru-RU"/>
        </w:rPr>
        <w:t>3)  Транспортная модель должна содержать граф улично-дорожной сети и маршрутной сети общественного транспорта, остановочные пункты, транспортные районы и расчетные характеристики территории.</w:t>
      </w:r>
    </w:p>
    <w:p w14:paraId="54FA3FB5">
      <w:pPr>
        <w:spacing w:after="0" w:line="360" w:lineRule="auto"/>
        <w:ind w:firstLine="709"/>
        <w:jc w:val="both"/>
        <w:rPr>
          <w:rFonts w:hint="default" w:ascii="Times New Roman" w:hAnsi="Times New Roman" w:eastAsia="Times New Roman" w:cs="Times New Roman"/>
          <w:b w:val="0"/>
          <w:bCs w:val="0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b w:val="0"/>
          <w:bCs w:val="0"/>
          <w:sz w:val="28"/>
          <w:szCs w:val="28"/>
          <w:lang w:eastAsia="ru-RU"/>
        </w:rPr>
        <w:t>4) Система должна обрабатывать ретроспективные данные из БД, диагностировать неравномерности движения и формировать сводные суточные метрики.</w:t>
      </w:r>
    </w:p>
    <w:p w14:paraId="399E822E">
      <w:pPr>
        <w:spacing w:after="0" w:line="360" w:lineRule="auto"/>
        <w:ind w:firstLine="709"/>
        <w:jc w:val="both"/>
        <w:rPr>
          <w:rFonts w:hint="default" w:ascii="Times New Roman" w:hAnsi="Times New Roman" w:eastAsia="Times New Roman" w:cs="Times New Roman"/>
          <w:b w:val="0"/>
          <w:bCs w:val="0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b w:val="0"/>
          <w:bCs w:val="0"/>
          <w:sz w:val="28"/>
          <w:szCs w:val="28"/>
          <w:lang w:eastAsia="ru-RU"/>
        </w:rPr>
        <w:t>5)  Обработка данных должна обеспечивать расчет транспортного сценария в РИТМ, обработку накопленных измерений детекторов и формирование согласованных наборов расчетных и фактических показателей.</w:t>
      </w:r>
    </w:p>
    <w:p w14:paraId="4F864D07">
      <w:pPr>
        <w:spacing w:after="0" w:line="360" w:lineRule="auto"/>
        <w:ind w:firstLine="709"/>
        <w:jc w:val="both"/>
        <w:rPr>
          <w:rFonts w:hint="default" w:ascii="Times New Roman" w:hAnsi="Times New Roman" w:eastAsia="Times New Roman" w:cs="Times New Roman"/>
          <w:b w:val="0"/>
          <w:bCs w:val="0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b w:val="0"/>
          <w:bCs w:val="0"/>
          <w:sz w:val="28"/>
          <w:szCs w:val="28"/>
          <w:lang w:eastAsia="ru-RU"/>
        </w:rPr>
        <w:t>6) Должна быть обеспечена пространственная привязка данных транспортных детекторов к элементам графа транспортной сети для сопоставления расчетных и фактических значений.</w:t>
      </w:r>
    </w:p>
    <w:p w14:paraId="3E38BE6C">
      <w:pPr>
        <w:spacing w:after="0" w:line="360" w:lineRule="auto"/>
        <w:ind w:firstLine="709"/>
        <w:jc w:val="both"/>
        <w:rPr>
          <w:rFonts w:hint="default" w:ascii="Times New Roman" w:hAnsi="Times New Roman" w:eastAsia="Times New Roman" w:cs="Times New Roman"/>
          <w:b w:val="0"/>
          <w:bCs w:val="0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b w:val="0"/>
          <w:bCs w:val="0"/>
          <w:sz w:val="28"/>
          <w:szCs w:val="28"/>
          <w:lang w:eastAsia="ru-RU"/>
        </w:rPr>
        <w:t>7)  Аналитический контур должен обеспечивать валидацию транспортной модели, расчет статистических, пространственных и сетевых показателей, а также выявление проблемных участков транспортной сети.</w:t>
      </w:r>
    </w:p>
    <w:p w14:paraId="02BA3530">
      <w:pPr>
        <w:spacing w:after="0" w:line="360" w:lineRule="auto"/>
        <w:ind w:firstLine="709"/>
        <w:jc w:val="both"/>
        <w:rPr>
          <w:rFonts w:hint="default" w:ascii="Times New Roman" w:hAnsi="Times New Roman" w:eastAsia="Times New Roman" w:cs="Times New Roman"/>
          <w:b w:val="0"/>
          <w:bCs w:val="0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b w:val="0"/>
          <w:bCs w:val="0"/>
          <w:sz w:val="28"/>
          <w:szCs w:val="28"/>
          <w:lang w:eastAsia="ru-RU"/>
        </w:rPr>
        <w:t>8)  Результаты анализа должны быть представлены в интерактивном дашборде и итоговой документации с выводами, подтвержденными рассчитанными показателями.</w:t>
      </w:r>
    </w:p>
    <w:p w14:paraId="1B6667BD">
      <w:pPr>
        <w:spacing w:after="0" w:line="360" w:lineRule="auto"/>
        <w:ind w:firstLine="709"/>
        <w:jc w:val="both"/>
        <w:rPr>
          <w:rFonts w:hint="default" w:ascii="Times New Roman" w:hAnsi="Times New Roman" w:eastAsia="Times New Roman" w:cs="Times New Roman"/>
          <w:b w:val="0"/>
          <w:bCs w:val="0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b w:val="0"/>
          <w:bCs w:val="0"/>
          <w:sz w:val="28"/>
          <w:szCs w:val="28"/>
          <w:lang w:eastAsia="ru-RU"/>
        </w:rPr>
        <w:t>Система должна позволять получать ответы как минимум на следующие вопросы:</w:t>
      </w:r>
    </w:p>
    <w:p w14:paraId="41E193BA">
      <w:pPr>
        <w:spacing w:after="0" w:line="360" w:lineRule="auto"/>
        <w:ind w:firstLine="709"/>
        <w:jc w:val="both"/>
        <w:rPr>
          <w:rFonts w:hint="default" w:ascii="Times New Roman" w:hAnsi="Times New Roman" w:eastAsia="Times New Roman" w:cs="Times New Roman"/>
          <w:b w:val="0"/>
          <w:bCs w:val="0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b w:val="0"/>
          <w:bCs w:val="0"/>
          <w:sz w:val="28"/>
          <w:szCs w:val="28"/>
          <w:lang w:eastAsia="ru-RU"/>
        </w:rPr>
        <w:t>1)  Как соотносятся расчетные значения интенсивности движения с данными транспортных детекторов?</w:t>
      </w:r>
    </w:p>
    <w:p w14:paraId="65B00B7E">
      <w:pPr>
        <w:spacing w:after="0" w:line="360" w:lineRule="auto"/>
        <w:ind w:firstLine="709"/>
        <w:jc w:val="both"/>
        <w:rPr>
          <w:rFonts w:hint="default" w:ascii="Times New Roman" w:hAnsi="Times New Roman" w:eastAsia="Times New Roman" w:cs="Times New Roman"/>
          <w:b w:val="0"/>
          <w:bCs w:val="0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b w:val="0"/>
          <w:bCs w:val="0"/>
          <w:sz w:val="28"/>
          <w:szCs w:val="28"/>
          <w:lang w:eastAsia="ru-RU"/>
        </w:rPr>
        <w:t>2) Каковы среднесуточные показатели интенсивности и скорости транспортного потока?</w:t>
      </w:r>
    </w:p>
    <w:p w14:paraId="4027C9F9">
      <w:pPr>
        <w:spacing w:after="0" w:line="360" w:lineRule="auto"/>
        <w:ind w:firstLine="709"/>
        <w:jc w:val="both"/>
        <w:rPr>
          <w:rFonts w:hint="default" w:ascii="Times New Roman" w:hAnsi="Times New Roman" w:eastAsia="Times New Roman" w:cs="Times New Roman"/>
          <w:b w:val="0"/>
          <w:bCs w:val="0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b w:val="0"/>
          <w:bCs w:val="0"/>
          <w:sz w:val="28"/>
          <w:szCs w:val="28"/>
          <w:lang w:eastAsia="ru-RU"/>
        </w:rPr>
        <w:t>3)  Какие участки транспортной сети являются наиболее загруженными и где формируются потенциальные узкие места?</w:t>
      </w:r>
    </w:p>
    <w:p w14:paraId="041BE60A">
      <w:pPr>
        <w:spacing w:after="0" w:line="360" w:lineRule="auto"/>
        <w:ind w:firstLine="709"/>
        <w:jc w:val="both"/>
        <w:rPr>
          <w:rFonts w:hint="default" w:ascii="Times New Roman" w:hAnsi="Times New Roman" w:eastAsia="Times New Roman" w:cs="Times New Roman"/>
          <w:b w:val="0"/>
          <w:bCs w:val="0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b w:val="0"/>
          <w:bCs w:val="0"/>
          <w:sz w:val="28"/>
          <w:szCs w:val="28"/>
          <w:lang w:eastAsia="ru-RU"/>
        </w:rPr>
        <w:t>4)  Как распределяется пассажиропоток по элементам маршрутной сети общественного транспорта?</w:t>
      </w:r>
    </w:p>
    <w:p w14:paraId="1C320DDD">
      <w:pPr>
        <w:spacing w:after="0" w:line="360" w:lineRule="auto"/>
        <w:ind w:firstLine="709"/>
        <w:jc w:val="both"/>
        <w:rPr>
          <w:rFonts w:hint="default" w:ascii="Times New Roman" w:hAnsi="Times New Roman" w:eastAsia="Times New Roman" w:cs="Times New Roman"/>
          <w:b w:val="0"/>
          <w:bCs w:val="0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b w:val="0"/>
          <w:bCs w:val="0"/>
          <w:sz w:val="28"/>
          <w:szCs w:val="28"/>
          <w:lang w:eastAsia="ru-RU"/>
        </w:rPr>
        <w:t>5) Какие основные транспортные корреспонденции формируются на исследуемой территории?</w:t>
      </w:r>
    </w:p>
    <w:p w14:paraId="3D83C509">
      <w:pPr>
        <w:spacing w:after="0" w:line="360" w:lineRule="auto"/>
        <w:ind w:firstLine="709"/>
        <w:jc w:val="both"/>
        <w:rPr>
          <w:rFonts w:hint="default" w:ascii="Times New Roman" w:hAnsi="Times New Roman" w:eastAsia="Times New Roman" w:cs="Times New Roman"/>
          <w:b w:val="0"/>
          <w:bCs w:val="0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b w:val="0"/>
          <w:bCs w:val="0"/>
          <w:sz w:val="28"/>
          <w:szCs w:val="28"/>
          <w:lang w:eastAsia="ru-RU"/>
        </w:rPr>
        <w:t>6)  Каковы показатели транспортной доступности для заданных территорий и объектов?</w:t>
      </w:r>
    </w:p>
    <w:p w14:paraId="3DA2EDD0">
      <w:pPr>
        <w:spacing w:after="0" w:line="360" w:lineRule="auto"/>
        <w:ind w:firstLine="709"/>
        <w:jc w:val="both"/>
        <w:rPr>
          <w:rFonts w:hint="default" w:ascii="Times New Roman" w:hAnsi="Times New Roman" w:eastAsia="Times New Roman" w:cs="Times New Roman"/>
          <w:b w:val="0"/>
          <w:bCs w:val="0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b w:val="0"/>
          <w:bCs w:val="0"/>
          <w:sz w:val="28"/>
          <w:szCs w:val="28"/>
          <w:lang w:eastAsia="ru-RU"/>
        </w:rPr>
        <w:t>7)  Насколько транспортная модель соответствует наблюдаемым данным по статистическим показателям качества?</w:t>
      </w:r>
    </w:p>
    <w:p w14:paraId="76C19A57">
      <w:pPr>
        <w:spacing w:after="0" w:line="360" w:lineRule="auto"/>
        <w:ind w:firstLine="709"/>
        <w:jc w:val="both"/>
        <w:rPr>
          <w:rFonts w:hint="default" w:ascii="Times New Roman" w:hAnsi="Times New Roman" w:eastAsia="Times New Roman" w:cs="Times New Roman"/>
          <w:b w:val="0"/>
          <w:bCs w:val="0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b w:val="0"/>
          <w:bCs w:val="0"/>
          <w:sz w:val="28"/>
          <w:szCs w:val="28"/>
          <w:lang w:eastAsia="ru-RU"/>
        </w:rPr>
        <w:t>8)  Какие изменения транспортной системы могут быть предложены на основании результатов анализа?</w:t>
      </w:r>
    </w:p>
    <w:p w14:paraId="6FB40621">
      <w:pPr>
        <w:spacing w:after="0" w:line="360" w:lineRule="auto"/>
        <w:ind w:firstLine="709"/>
        <w:jc w:val="both"/>
        <w:rPr>
          <w:rFonts w:hint="default" w:ascii="Times New Roman" w:hAnsi="Times New Roman" w:eastAsia="Times New Roman" w:cs="Times New Roman"/>
          <w:b w:val="0"/>
          <w:bCs w:val="0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b w:val="0"/>
          <w:bCs w:val="0"/>
          <w:sz w:val="28"/>
          <w:szCs w:val="28"/>
          <w:lang w:eastAsia="ru-RU"/>
        </w:rPr>
        <w:t>В рамках чемпионата конкурсантам предстоит поэтапно разработать такое решение: спроектировать архитектуру инфраструктуры данных и создать базу данных, подготовить пространственные данные и транспортную модель в РИТМ, реализовать обработку данных детекторов, выполнить пакетные расчеты, провести валидацию и комплексный анализ транспортной сети, а затем документировать и представить результаты.</w:t>
      </w:r>
    </w:p>
    <w:p w14:paraId="149E074C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b w:val="0"/>
          <w:bCs w:val="0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b w:val="0"/>
          <w:bCs w:val="0"/>
          <w:sz w:val="28"/>
          <w:szCs w:val="28"/>
          <w:lang w:eastAsia="ru-RU"/>
        </w:rPr>
        <w:t>Итогом проекта должно стать целостное информационно-аналитическое решение, позволяющее сопоставлять расчетные и фактические показатели транспортной сети, исследовать ее состояние и предоставлять результаты для обоснованного принятия решений.</w:t>
      </w:r>
    </w:p>
    <w:p w14:paraId="03C1252E">
      <w:pPr>
        <w:spacing w:after="0" w:line="360" w:lineRule="auto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>Модуль А.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  <w:t xml:space="preserve"> Проектирование и разработка архитектуры инфраструктуры данных (инвариант)</w:t>
      </w:r>
    </w:p>
    <w:p w14:paraId="68A053ED">
      <w:pPr>
        <w:spacing w:after="0" w:line="360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>Время на выполнение модуля: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3 часа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u w:val="single"/>
        </w:rPr>
        <w:t>00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минут</w:t>
      </w:r>
    </w:p>
    <w:p w14:paraId="57C1D7FB">
      <w:pPr>
        <w:spacing w:after="0" w:line="360" w:lineRule="auto"/>
        <w:jc w:val="both"/>
        <w:rPr>
          <w:rFonts w:ascii="Times New Roman" w:hAnsi="Times New Roman" w:eastAsia="Times New Roman"/>
          <w:b/>
          <w:bCs/>
          <w:sz w:val="28"/>
          <w:szCs w:val="28"/>
        </w:rPr>
      </w:pPr>
      <w:r>
        <w:rPr>
          <w:rFonts w:ascii="Times New Roman" w:hAnsi="Times New Roman" w:eastAsia="Times New Roman"/>
          <w:b/>
          <w:bCs/>
          <w:sz w:val="28"/>
          <w:szCs w:val="28"/>
        </w:rPr>
        <w:t>Задание</w:t>
      </w:r>
    </w:p>
    <w:p w14:paraId="0DEBB50D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На данном этапе необходимо разработать проект архитектуры инфраструктуры данных для информационно-аналитической системы, обеспечивающей работу с пространственными данными, транспортной моделью, потоковыми данными детекторов</w:t>
      </w:r>
      <w:bookmarkStart w:id="34" w:name="_GoBack"/>
      <w:bookmarkEnd w:id="34"/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, результатами пакетных расчетов и аналитическими показателями.</w:t>
      </w:r>
    </w:p>
    <w:p w14:paraId="794239E6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На первом этапе требуется выполнить анализ требований заказчика и сформулировать функциональные и нефункциональные требования к системе. Для представления основных сценариев взаимодействия пользователей с системой необходимо разработать диаграмму вариантов использования в нотации UML в SILA Union.</w:t>
      </w:r>
    </w:p>
    <w:p w14:paraId="2BBE0F97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Далее необходимо подготовить обзорную архитектурную диаграмму системы в нотации ArchiMate в SILA Union. Архитектурная модель должна отражать основные компоненты решения, их взаимосвязи и учитывать использование результатов последующих модулей конкурсного задания.</w:t>
      </w:r>
    </w:p>
    <w:p w14:paraId="6040E792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На основе разработанной архитектуры требуется создать структуру базы данных, обеспечивающую хранение пространственных, фактических, расчетных и аналитических данных, необходимых для выполнения последующих этапов проекта.</w:t>
      </w:r>
    </w:p>
    <w:p w14:paraId="2AD97464">
      <w:pPr>
        <w:spacing w:after="0" w:line="360" w:lineRule="auto"/>
        <w:jc w:val="both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</w:p>
    <w:p w14:paraId="54BA12B3">
      <w:pPr>
        <w:spacing w:after="0" w:line="360" w:lineRule="auto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>Модуль Б.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  <w:t xml:space="preserve"> Сбор, подготовка и структурирование транспортных данных (инвариант)</w:t>
      </w:r>
    </w:p>
    <w:p w14:paraId="40D54254">
      <w:pPr>
        <w:spacing w:after="0" w:line="360" w:lineRule="auto"/>
        <w:contextualSpacing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>Время на выполнение модуля: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u w:val="single"/>
        </w:rPr>
        <w:t>3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часа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u w:val="single"/>
        </w:rPr>
        <w:t>00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минут</w:t>
      </w:r>
    </w:p>
    <w:p w14:paraId="155C1BEF">
      <w:pPr>
        <w:spacing w:after="0" w:line="360" w:lineRule="auto"/>
        <w:jc w:val="both"/>
        <w:rPr>
          <w:rFonts w:ascii="Times New Roman" w:hAnsi="Times New Roman" w:eastAsia="Times New Roman"/>
          <w:b/>
          <w:bCs/>
          <w:sz w:val="28"/>
          <w:szCs w:val="28"/>
        </w:rPr>
      </w:pPr>
      <w:r>
        <w:rPr>
          <w:rFonts w:ascii="Times New Roman" w:hAnsi="Times New Roman" w:eastAsia="Times New Roman"/>
          <w:b/>
          <w:bCs/>
          <w:sz w:val="28"/>
          <w:szCs w:val="28"/>
        </w:rPr>
        <w:t>Задание</w:t>
      </w:r>
    </w:p>
    <w:p w14:paraId="51BBB034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На основании предоставленной транспортной модели и пространственных данных необходимо подготовить модель городской территории для последующего выполнения расчетного сценария в РИТМ.</w:t>
      </w:r>
    </w:p>
    <w:p w14:paraId="6E496D04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На первом этапе необходимо проверить наличие основных элементов транспортной модели: графа улично-дорожной сети, маршрутной сети общественного транспорта и остановочных пунктов. В соответствии с установленными в инструкции пространственными условиями требуется сформировать транспортные районы.</w:t>
      </w:r>
    </w:p>
    <w:p w14:paraId="35F8E1CA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Далее транспортные районы необходимо экспортировать на ГИС-платформу и совместно с данными о зданиях подготовить к дальнейшим расчетам. Пространственные данные необходимо очистить и преобразовать, привести геометрию, атрибуты и систему координат к виду, пригодному для последующего использования.</w:t>
      </w:r>
    </w:p>
    <w:p w14:paraId="48B8AF3B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На основании подготовленных характеристик зданий требуется рассчитать численность населения и количество рабочих мест, агрегировать полученные значения по транспортным районам и записать их в соответствующие атрибуты транспортной модели РИТМ.</w:t>
      </w:r>
    </w:p>
    <w:p w14:paraId="2C7FDC10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Перед завершением модуля необходимо проверить полноту сформированного районирования и корректность подготовленных данных.</w:t>
      </w:r>
    </w:p>
    <w:p w14:paraId="73888FD2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1941FD16">
      <w:pPr>
        <w:spacing w:after="0" w:line="360" w:lineRule="auto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>Модуль В.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  <w:t xml:space="preserve"> Обработка транспортных данных (инвариант)</w:t>
      </w:r>
    </w:p>
    <w:p w14:paraId="3B91AFBA">
      <w:pPr>
        <w:spacing w:after="0" w:line="360" w:lineRule="auto"/>
        <w:contextualSpacing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>Время на выполнение модуля: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u w:val="single"/>
        </w:rPr>
        <w:t>3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часа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u w:val="single"/>
        </w:rPr>
        <w:t>00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минут</w:t>
      </w:r>
    </w:p>
    <w:p w14:paraId="37661BB4">
      <w:pPr>
        <w:spacing w:after="0" w:line="360" w:lineRule="auto"/>
        <w:jc w:val="both"/>
        <w:rPr>
          <w:rFonts w:ascii="Times New Roman" w:hAnsi="Times New Roman" w:eastAsia="Times New Roman"/>
          <w:b/>
          <w:bCs/>
          <w:sz w:val="28"/>
          <w:szCs w:val="28"/>
        </w:rPr>
      </w:pPr>
      <w:r>
        <w:rPr>
          <w:rFonts w:ascii="Times New Roman" w:hAnsi="Times New Roman" w:eastAsia="Times New Roman"/>
          <w:b/>
          <w:bCs/>
          <w:sz w:val="28"/>
          <w:szCs w:val="28"/>
        </w:rPr>
        <w:t>Задание</w:t>
      </w:r>
    </w:p>
    <w:p w14:paraId="4FB4228D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На основании накопленных измерений транспортных детекторов необходимо выполнить обработку временных рядов и сформировать исторические характеристики транспортного потока.</w:t>
      </w:r>
    </w:p>
    <w:p w14:paraId="00616EC2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Требуется привести исходные измерения к итоговым суточным показателям, рассчитать кривые внутрисуточной неравномерности, показатели неравномерности по дням недели и месяцам, а также сформировать необходимые агрегаты по временным интервалам и идентификаторам детекторов.</w:t>
      </w:r>
    </w:p>
    <w:p w14:paraId="436EBA5B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Для последующего сопоставления фактических и расчетных данных необходимо выполнить пространственную привязку транспортных детекторов к элементам графа транспортной сети. Для каждого детектора должна быть определена связь с соответствующим ребром графа и сохранен идентификатор, позволяющий совместно использовать расчетные и фактические показатели.</w:t>
      </w:r>
    </w:p>
    <w:p w14:paraId="523E03D9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Результаты обработки и пространственного сопоставления необходимо загрузить в целевую базу данных. Структура данных должна обеспечивать последующее сравнение расчетных и фактических показателей без ручного объединения наборов и быть пригодной для валидации транспортной модели и дальнейшего аналитического исследования.</w:t>
      </w:r>
    </w:p>
    <w:p w14:paraId="13BE392E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73567A2D">
      <w:pPr>
        <w:spacing w:after="0" w:line="360" w:lineRule="auto"/>
        <w:jc w:val="both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>Модуль Г.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  <w:t xml:space="preserve"> Сценарное моделирование и валидация модели (инвариант)</w:t>
      </w:r>
    </w:p>
    <w:p w14:paraId="6537D6C5">
      <w:pPr>
        <w:spacing w:after="0" w:line="360" w:lineRule="auto"/>
        <w:contextualSpacing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>Время на выполнение модуля: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u w:val="single"/>
        </w:rPr>
        <w:t>3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часа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u w:val="single"/>
        </w:rPr>
        <w:t>00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минут</w:t>
      </w:r>
    </w:p>
    <w:p w14:paraId="4EF9952D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Задание</w:t>
      </w:r>
    </w:p>
    <w:p w14:paraId="236B48A6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На основании подготовленной транспортной модели и обработанных данных транспортных детекторов необходимо выполнить расчет транспортного сценария в РИТМ.</w:t>
      </w:r>
    </w:p>
    <w:p w14:paraId="4FD4CC3F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Перед выполнением расчета требуется создать примыкания (коннекторы) по транспортным районам. По результатам моделирования необходимо получить расчетные показатели по элементам транспортного графа, включая интенсивность движения, скорость и пассажиропоток, а также подготовить расчетный граф для дальнейшей обработки и анализа.</w:t>
      </w:r>
    </w:p>
    <w:p w14:paraId="59F94422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Для валидации транспортной модели необходимо сопоставить расчетные значения интенсивности движения с фактическими показателями транспортных детекторов по участкам, для которых сформирована связь «детектор — ребро графа». На основании сопоставленных данных необходимо рассчитать статистические показатели качества модели.</w:t>
      </w:r>
    </w:p>
    <w:p w14:paraId="23D6EF33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Необходимо определить участки транспортной сети, на которых наблюдаются наибольшие расхождения между расчетными и фактическими значениями, и представить результаты в виде таблиц и графических материалов.</w:t>
      </w:r>
    </w:p>
    <w:p w14:paraId="56A98B1F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</w:p>
    <w:p w14:paraId="24485391">
      <w:pPr>
        <w:spacing w:after="0" w:line="360" w:lineRule="auto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>Модуль Д.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  <w:t xml:space="preserve"> Документирование и представление проекта (вариатив)</w:t>
      </w:r>
    </w:p>
    <w:p w14:paraId="596304C6">
      <w:pPr>
        <w:spacing w:after="0" w:line="360" w:lineRule="auto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>Время на выполнение модуля: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u w:val="single"/>
        </w:rPr>
        <w:t>3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часа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u w:val="single"/>
        </w:rPr>
        <w:t>00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минут</w:t>
      </w:r>
    </w:p>
    <w:p w14:paraId="5629CBDF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Задание</w:t>
      </w:r>
    </w:p>
    <w:p w14:paraId="585F272C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На основании расчетного графа транспортной сети, матриц корреспонденций и затрат, а также фактических и агрегированных данных транспортных детекторов необходимо выполнить комплексный анализ состояния транспортной системы.</w:t>
      </w:r>
    </w:p>
    <w:p w14:paraId="1D6BA5ED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Анализ должен включать оценку транспортной доступности заданных территорий или объектов, выявление наиболее загруженных участков и потенциальных узких мест сети, анализ участков со сниженной скоростью, основных транспортных корреспонденций и пассажиропотоков по элементам маршрутной сети. Дополнительно необходимо рассчитать пространственные и сетевые показатели, предусмотренные инструкцией к модулю.</w:t>
      </w:r>
    </w:p>
    <w:p w14:paraId="739EE7DD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По результатам анализа требуется сформировать описание текущего состояния AS-IS и подготовить предложения по изменению целевого состояния TO-BE. </w:t>
      </w:r>
    </w:p>
    <w:p w14:paraId="380B2D11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Дополнительно необходимо разработать интерактивный аналитический дашборд, позволяющий анализировать расчетные и фактические показатели, временную динамику и пространственное распределение транспортных характеристик. На аналитической панели должны быть представлены карта транспортной сети, результаты валидации модели, динамика показателей по данным детекторов, наиболее загруженные участки, узкие места, результаты анализа доступности и основных корреспонденций.</w:t>
      </w:r>
    </w:p>
    <w:p w14:paraId="38D97D8A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4636FB29">
      <w:pPr>
        <w:spacing w:after="0" w:line="360" w:lineRule="auto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>Модуль Е.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  <w:t xml:space="preserve"> Документирование и представление проекта (вариатив)</w:t>
      </w:r>
    </w:p>
    <w:p w14:paraId="76234970">
      <w:pPr>
        <w:spacing w:after="0" w:line="360" w:lineRule="auto"/>
        <w:contextualSpacing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>Время на выполнение модуля: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u w:val="single"/>
        </w:rPr>
        <w:t>2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часа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u w:val="single"/>
        </w:rPr>
        <w:t>00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минут</w:t>
      </w:r>
    </w:p>
    <w:p w14:paraId="32A338B1">
      <w:pPr>
        <w:spacing w:after="0" w:line="36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</w:t>
      </w:r>
    </w:p>
    <w:p w14:paraId="64AD1E14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bookmarkStart w:id="22" w:name="_Toc78885643"/>
      <w:bookmarkStart w:id="23" w:name="_Toc216104744"/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На основании результатов выполнения модулей А–Д необходимо подготовить итоговую документацию по разработанному информационно-аналитическому решению и представить результаты работы экспертной комиссии.</w:t>
      </w:r>
    </w:p>
    <w:p w14:paraId="6A7FB6DA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Документация должна отражать назначение системы, архитектуру решения, структуру и взаимосвязь данных, используемые методы подготовки и обработки данных, порядок выполнения транспортного моделирования, методику валидации и основные результаты аналитического исследования.</w:t>
      </w:r>
    </w:p>
    <w:p w14:paraId="0E7F4EDB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В итоговых материалах необходимо представить архитектуру системы, структуру базы данных, подготовку пространственных данных и транспортной модели, методы пространственной привязки детекторов, результаты валидации и анализа транспортной сети, предложения по целевому состоянию, ограничения разработанного решения и итоговые выводы.</w:t>
      </w:r>
    </w:p>
    <w:p w14:paraId="392DEB83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Для представления проекта необходимо подготовить краткую демонстрацию сквозного решения — от архитектуры и источников данных до аналитического дашборда. При защите необходимо показать ключевые результаты, объяснить примененные методы и обосновать выводы на основании рассчитанных показателей.</w:t>
      </w:r>
      <w:r>
        <w:rPr>
          <w:rFonts w:ascii="Times New Roman" w:hAnsi="Times New Roman"/>
          <w:sz w:val="28"/>
          <w:szCs w:val="28"/>
        </w:rPr>
        <w:br w:type="page"/>
      </w:r>
    </w:p>
    <w:p w14:paraId="7D58E4A0">
      <w:pPr>
        <w:pStyle w:val="64"/>
        <w:rPr>
          <w:szCs w:val="28"/>
        </w:rPr>
      </w:pPr>
      <w:bookmarkStart w:id="24" w:name="_Toc229998030"/>
      <w:r>
        <w:rPr>
          <w:szCs w:val="28"/>
        </w:rPr>
        <w:t>2. СПЕЦИАЛЬНЫЕ ПРАВИЛА КОМПЕТЕНЦИИ</w:t>
      </w:r>
      <w:r>
        <w:rPr>
          <w:i/>
          <w:szCs w:val="28"/>
          <w:vertAlign w:val="superscript"/>
        </w:rPr>
        <w:footnoteReference w:id="1"/>
      </w:r>
      <w:bookmarkEnd w:id="22"/>
      <w:bookmarkEnd w:id="23"/>
      <w:bookmarkEnd w:id="24"/>
    </w:p>
    <w:p w14:paraId="0A563925">
      <w:pPr>
        <w:pStyle w:val="65"/>
        <w:tabs>
          <w:tab w:val="left" w:pos="0"/>
        </w:tabs>
        <w:outlineLvl w:val="9"/>
        <w:rPr>
          <w:b w:val="0"/>
          <w:bCs/>
          <w:color w:val="000000"/>
        </w:rPr>
      </w:pPr>
      <w:bookmarkStart w:id="25" w:name="_Toc78885659"/>
      <w:bookmarkStart w:id="26" w:name="_Toc216104745"/>
      <w:r>
        <w:rPr>
          <w:b w:val="0"/>
          <w:bCs/>
          <w:color w:val="000000"/>
        </w:rPr>
        <w:t xml:space="preserve">Конкурсантам разрешается использовать собственные клавиатуры, мыши и коврики, при условии, что они имеют стандартный интерфейс USB (Plug-and-Play) и не содержат предустановленных макросов, дающих нечестное преимущество. Всё личное оборудование должно быть заранее предъявлено экспертам для проверки и одобрения (Д-2, Д-1). </w:t>
      </w:r>
    </w:p>
    <w:p w14:paraId="50F1B466">
      <w:pPr>
        <w:pStyle w:val="65"/>
        <w:tabs>
          <w:tab w:val="left" w:pos="0"/>
        </w:tabs>
        <w:outlineLvl w:val="9"/>
        <w:rPr>
          <w:b w:val="0"/>
          <w:bCs/>
          <w:color w:val="000000"/>
        </w:rPr>
      </w:pPr>
      <w:r>
        <w:rPr>
          <w:b w:val="0"/>
          <w:bCs/>
          <w:color w:val="000000"/>
        </w:rPr>
        <w:t>При поломке или некорректной работе личного оборудования дополнительное время не добавляется, но конкурсант может продолжить работу на стандартных устройствах организатора.</w:t>
      </w:r>
    </w:p>
    <w:p w14:paraId="5831427B">
      <w:pPr>
        <w:pStyle w:val="65"/>
        <w:tabs>
          <w:tab w:val="left" w:pos="0"/>
        </w:tabs>
        <w:outlineLvl w:val="9"/>
        <w:rPr>
          <w:b w:val="0"/>
          <w:bCs/>
          <w:color w:val="000000"/>
        </w:rPr>
      </w:pPr>
      <w:r>
        <w:rPr>
          <w:b w:val="0"/>
          <w:bCs/>
          <w:color w:val="000000"/>
        </w:rPr>
        <w:t>Для обеспечения комфортной работы допускается использование средств защиты слуха (беруши) и прослушивание музыки, но разрешено использование исключительно проводных наушников без функций беспроводной связи. Использование любых беспроводных гарнитур (Bluetooth и т.п.) запрещено. При работе в наушниках конкурсант обязан сохранять визуальный контакт с экспертами для оперативного реагирования на команды или аварийные сигналы, а громкость воспроизведения не должна мешать другим конкурсантам.</w:t>
      </w:r>
    </w:p>
    <w:p w14:paraId="1EE80A7E">
      <w:pPr>
        <w:pStyle w:val="65"/>
        <w:tabs>
          <w:tab w:val="left" w:pos="0"/>
        </w:tabs>
        <w:outlineLvl w:val="9"/>
        <w:rPr>
          <w:b w:val="0"/>
          <w:bCs/>
          <w:color w:val="000000"/>
        </w:rPr>
      </w:pPr>
      <w:r>
        <w:rPr>
          <w:b w:val="0"/>
          <w:bCs/>
          <w:color w:val="000000"/>
        </w:rPr>
        <w:t>Конкурсантам запрещено использовать ИИ для генерации текста или программного кода, за исключением встроенных в браузер ассистентов, которые используются только для поиска информации, без копирования их ответов. Нарушение правил влечёт штрафные санкции.</w:t>
      </w:r>
    </w:p>
    <w:p w14:paraId="44216062">
      <w:pPr>
        <w:pStyle w:val="65"/>
        <w:tabs>
          <w:tab w:val="left" w:pos="0"/>
        </w:tabs>
        <w:outlineLvl w:val="9"/>
        <w:rPr>
          <w:b w:val="0"/>
          <w:bCs/>
          <w:color w:val="000000"/>
        </w:rPr>
      </w:pPr>
    </w:p>
    <w:p w14:paraId="0C4B38FC">
      <w:pPr>
        <w:pStyle w:val="3"/>
        <w:rPr>
          <w:lang w:val="ru-RU"/>
        </w:rPr>
      </w:pPr>
      <w:bookmarkStart w:id="27" w:name="_Toc229998031"/>
      <w:r>
        <w:rPr>
          <w:color w:val="000000"/>
          <w:lang w:val="ru-RU"/>
        </w:rPr>
        <w:t xml:space="preserve">2.1. </w:t>
      </w:r>
      <w:bookmarkEnd w:id="25"/>
      <w:r>
        <w:rPr>
          <w:lang w:val="ru-RU"/>
        </w:rPr>
        <w:t>Личный инструмент конкурсанта</w:t>
      </w:r>
      <w:bookmarkEnd w:id="26"/>
      <w:bookmarkEnd w:id="27"/>
    </w:p>
    <w:p w14:paraId="4F712B8A">
      <w:pPr>
        <w:spacing w:after="0" w:line="240" w:lineRule="auto"/>
        <w:jc w:val="both"/>
        <w:rPr>
          <w:rFonts w:ascii="Times New Roman" w:hAnsi="Times New Roman" w:eastAsia="Times New Roman" w:cs="Times New Roman"/>
          <w:bCs/>
          <w:color w:val="000000"/>
          <w:sz w:val="28"/>
          <w:szCs w:val="24"/>
        </w:rPr>
      </w:pPr>
      <w:r>
        <w:rPr>
          <w:rFonts w:ascii="Times New Roman" w:hAnsi="Times New Roman" w:eastAsia="Times New Roman" w:cs="Times New Roman"/>
          <w:bCs/>
          <w:color w:val="000000"/>
          <w:sz w:val="28"/>
          <w:szCs w:val="24"/>
        </w:rPr>
        <w:t>Неопределенный.</w:t>
      </w:r>
    </w:p>
    <w:p w14:paraId="3A8DA16D">
      <w:pPr>
        <w:spacing w:after="0" w:line="240" w:lineRule="auto"/>
        <w:jc w:val="both"/>
        <w:rPr>
          <w:rFonts w:ascii="Times New Roman" w:hAnsi="Times New Roman" w:eastAsia="Times New Roman" w:cs="Times New Roman"/>
          <w:bCs/>
          <w:color w:val="000000"/>
          <w:sz w:val="28"/>
          <w:szCs w:val="24"/>
        </w:rPr>
      </w:pPr>
    </w:p>
    <w:p w14:paraId="3D3F9BCC">
      <w:pPr>
        <w:pStyle w:val="3"/>
        <w:rPr>
          <w:lang w:val="ru-RU"/>
        </w:rPr>
      </w:pPr>
      <w:bookmarkStart w:id="28" w:name="_Toc216104746"/>
      <w:bookmarkStart w:id="29" w:name="_Toc229998032"/>
      <w:bookmarkStart w:id="30" w:name="_Toc78885660"/>
      <w:r>
        <w:rPr>
          <w:lang w:val="ru-RU"/>
        </w:rPr>
        <w:t>2.2. Материалы, оборудование и инструменты,</w:t>
      </w:r>
      <w:bookmarkEnd w:id="28"/>
      <w:bookmarkStart w:id="31" w:name="_Toc216104747"/>
      <w:r>
        <w:rPr>
          <w:lang w:val="ru-RU"/>
        </w:rPr>
        <w:t xml:space="preserve"> запрещенные на площадке</w:t>
      </w:r>
      <w:bookmarkEnd w:id="29"/>
      <w:bookmarkEnd w:id="30"/>
      <w:bookmarkEnd w:id="31"/>
    </w:p>
    <w:p w14:paraId="35595BCE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2.2.1 Электронные устройства и средства связи</w:t>
      </w:r>
    </w:p>
    <w:p w14:paraId="60374FB9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Участникам строго запрещено проносить в зону соревнований и использовать на рабочем месте следующие личные электронные устройства:</w:t>
      </w:r>
    </w:p>
    <w:p w14:paraId="483313B6">
      <w:pPr>
        <w:pStyle w:val="74"/>
        <w:numPr>
          <w:ilvl w:val="0"/>
          <w:numId w:val="9"/>
        </w:numPr>
        <w:spacing w:after="0" w:line="360" w:lineRule="auto"/>
        <w:ind w:left="1134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Мобильные телефоны, смартфоны и коммуникаторы.</w:t>
      </w:r>
    </w:p>
    <w:p w14:paraId="343CC569">
      <w:pPr>
        <w:pStyle w:val="74"/>
        <w:numPr>
          <w:ilvl w:val="0"/>
          <w:numId w:val="9"/>
        </w:numPr>
        <w:spacing w:after="0" w:line="360" w:lineRule="auto"/>
        <w:ind w:left="1134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Планшетные компьютеры, электронные книги и иные портативные гаджеты.</w:t>
      </w:r>
    </w:p>
    <w:p w14:paraId="54AC6366">
      <w:pPr>
        <w:pStyle w:val="74"/>
        <w:numPr>
          <w:ilvl w:val="0"/>
          <w:numId w:val="9"/>
        </w:numPr>
        <w:spacing w:after="0" w:line="360" w:lineRule="auto"/>
        <w:ind w:left="1134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Умные часы (Smart Watch), фитнес-браслеты с экранами и функцией приема сообщений/звонков.</w:t>
      </w:r>
    </w:p>
    <w:p w14:paraId="5CAE3E1A">
      <w:pPr>
        <w:pStyle w:val="74"/>
        <w:numPr>
          <w:ilvl w:val="0"/>
          <w:numId w:val="9"/>
        </w:numPr>
        <w:spacing w:after="0" w:line="360" w:lineRule="auto"/>
        <w:ind w:left="1134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Фото- и видеокамеры, диктофоны.</w:t>
      </w:r>
    </w:p>
    <w:p w14:paraId="09977DAC">
      <w:pPr>
        <w:spacing w:after="0" w:line="360" w:lineRule="auto"/>
        <w:ind w:left="774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2.2.2 Носители информации и передача данных</w:t>
      </w:r>
    </w:p>
    <w:p w14:paraId="53474EC7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Запрещается использование любых внешних устройств для хранения и переноса данных, не предоставленных организаторами в рамках конкурсного задания:</w:t>
      </w:r>
    </w:p>
    <w:p w14:paraId="01CECE6E">
      <w:pPr>
        <w:pStyle w:val="74"/>
        <w:numPr>
          <w:ilvl w:val="0"/>
          <w:numId w:val="10"/>
        </w:numPr>
        <w:spacing w:after="0" w:line="360" w:lineRule="auto"/>
        <w:ind w:left="1134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USB-флеш-накопители.</w:t>
      </w:r>
    </w:p>
    <w:p w14:paraId="06E40EC3">
      <w:pPr>
        <w:pStyle w:val="74"/>
        <w:numPr>
          <w:ilvl w:val="0"/>
          <w:numId w:val="10"/>
        </w:numPr>
        <w:spacing w:after="0" w:line="360" w:lineRule="auto"/>
        <w:ind w:left="1134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Внешние жесткие диски (HDD/SSD).</w:t>
      </w:r>
    </w:p>
    <w:p w14:paraId="02B2D5E0">
      <w:pPr>
        <w:pStyle w:val="74"/>
        <w:numPr>
          <w:ilvl w:val="0"/>
          <w:numId w:val="10"/>
        </w:numPr>
        <w:spacing w:after="0" w:line="360" w:lineRule="auto"/>
        <w:ind w:left="1134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Оптические диски (CD/DVD/Blu-ray).</w:t>
      </w:r>
    </w:p>
    <w:p w14:paraId="52BD14AF">
      <w:pPr>
        <w:pStyle w:val="74"/>
        <w:numPr>
          <w:ilvl w:val="0"/>
          <w:numId w:val="10"/>
        </w:numPr>
        <w:spacing w:after="0" w:line="360" w:lineRule="auto"/>
        <w:ind w:left="1134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Карты памяти всех форматов (SD, microSD и др.).</w:t>
      </w:r>
    </w:p>
    <w:p w14:paraId="5E2C87ED">
      <w:pPr>
        <w:spacing w:after="0" w:line="360" w:lineRule="auto"/>
        <w:ind w:left="774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2.2.3 Программное обеспечение</w:t>
      </w:r>
    </w:p>
    <w:p w14:paraId="0ABCC4FC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Запрещена установка и использование любого дополнительного программного обеспечения, не предусмотренного инфраструктурным листом без согласования с ГЭ.</w:t>
      </w:r>
    </w:p>
    <w:p w14:paraId="017E2A65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Запрещено использование «portable» версий программ, запускаемых с внешних носителей.</w:t>
      </w:r>
    </w:p>
    <w:p w14:paraId="3D5697AD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2.2.4 Сетевая безопасность и ограничения доступа:</w:t>
      </w:r>
    </w:p>
    <w:p w14:paraId="75A37AB1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Участникам запрещено предпринимать попытки получения доступа к ресурсам, требующим авторизации и аутентификации.</w:t>
      </w:r>
    </w:p>
    <w:p w14:paraId="10D5D5FB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Строго запрещен доступ к общим внутренним локальным сетевым ресурсам (включая скрытые сетевые папки, FTP-серверы организаторов, административные интерфейсы оборудования), если это прямо не требуется заданием.</w:t>
      </w:r>
    </w:p>
    <w:p w14:paraId="0C3A8881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Запрещено использование любых программных или аппаратных средств для обхода сетевых ограничений (VPN, прокси, туннелирование).</w:t>
      </w:r>
    </w:p>
    <w:p w14:paraId="0427EB9B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2.2.5 Санкции за нарушение:</w:t>
      </w:r>
    </w:p>
    <w:p w14:paraId="157ED20C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Обнаружение у конкурсанта запрещенных материалов или оборудования во время выполнения задания может привести к начислению штрафных баллов или дисквалификации (снятию с соревнований), в соответствии с коллегиальным решением экспертов.</w:t>
      </w:r>
    </w:p>
    <w:p w14:paraId="6DA8874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04232E6">
      <w:pPr>
        <w:pStyle w:val="2"/>
        <w:rPr>
          <w:lang w:val="ru-RU"/>
        </w:rPr>
      </w:pPr>
      <w:bookmarkStart w:id="32" w:name="_Toc216104748"/>
      <w:bookmarkStart w:id="33" w:name="_Toc229998033"/>
      <w:r>
        <w:rPr>
          <w:lang w:val="ru-RU"/>
        </w:rPr>
        <w:t>3. Приложения</w:t>
      </w:r>
      <w:bookmarkEnd w:id="32"/>
      <w:bookmarkEnd w:id="33"/>
    </w:p>
    <w:p w14:paraId="08DB424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1. Инструкция по заполнению матрицы конкурсного задания</w:t>
      </w:r>
    </w:p>
    <w:p w14:paraId="6DB3C80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2. Матрица конкурсного задания</w:t>
      </w:r>
    </w:p>
    <w:p w14:paraId="6FBA037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3. Инструкция по охране труда</w:t>
      </w:r>
    </w:p>
    <w:p w14:paraId="64FA4F3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4. Руководство по оцениванию конкурсного задания</w:t>
      </w:r>
    </w:p>
    <w:p w14:paraId="06E766B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eastAsia="Times New Roman" w:cs="Times New Roman"/>
          <w:i/>
          <w:iCs/>
          <w:sz w:val="28"/>
          <w:szCs w:val="28"/>
          <w:lang w:eastAsia="ru-RU"/>
        </w:rPr>
      </w:pPr>
    </w:p>
    <w:sectPr>
      <w:pgSz w:w="11906" w:h="16838"/>
      <w:pgMar w:top="1134" w:right="850" w:bottom="1134" w:left="1701" w:header="709" w:footer="709" w:gutter="0"/>
      <w:pgNumType w:start="3"/>
      <w:cols w:space="708" w:num="1"/>
      <w:titlePg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DejaVu Sans">
    <w:altName w:val="Segoe Print"/>
    <w:panose1 w:val="020B0604020202020204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FrutigerLTStd-Light">
    <w:altName w:val="Segoe Print"/>
    <w:panose1 w:val="020B0604020202020204"/>
    <w:charset w:val="00"/>
    <w:family w:val="auto"/>
    <w:pitch w:val="default"/>
    <w:sig w:usb0="00000000" w:usb1="00000000" w:usb2="00000000" w:usb3="00000000" w:csb0="00000001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Arial Unicode MS">
    <w:panose1 w:val="020B0604020202020204"/>
    <w:charset w:val="80"/>
    <w:family w:val="swiss"/>
    <w:pitch w:val="default"/>
    <w:sig w:usb0="FFFFFFFF" w:usb1="E9FFFFFF" w:usb2="0000003F" w:usb3="00000000" w:csb0="603F01FF" w:csb1="FFFF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869104416"/>
      <w:docPartObj>
        <w:docPartGallery w:val="autotext"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38D94969">
        <w:pPr>
          <w:pStyle w:val="22"/>
          <w:jc w:val="right"/>
          <w:rPr>
            <w:rFonts w:ascii="Times New Roman" w:hAnsi="Times New Roman" w:cs="Times New Roman"/>
            <w:sz w:val="24"/>
            <w:szCs w:val="24"/>
          </w:rPr>
        </w:pPr>
        <w:r>
          <w:rPr>
            <w:rFonts w:ascii="Times New Roman" w:hAnsi="Times New Roman" w:cs="Times New Roman"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sz w:val="24"/>
            <w:szCs w:val="24"/>
          </w:rPr>
          <w:instrText xml:space="preserve">PAGE   \* MERGEFORMAT</w:instrText>
        </w:r>
        <w:r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sz w:val="24"/>
            <w:szCs w:val="24"/>
          </w:rPr>
          <w:t>7</w:t>
        </w:r>
        <w:r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4">
    <w:p>
      <w:pPr>
        <w:spacing w:before="0" w:after="0" w:line="259" w:lineRule="auto"/>
      </w:pPr>
      <w:r>
        <w:separator/>
      </w:r>
    </w:p>
  </w:footnote>
  <w:footnote w:type="continuationSeparator" w:id="5">
    <w:p>
      <w:pPr>
        <w:spacing w:before="0" w:after="0" w:line="259" w:lineRule="auto"/>
      </w:pPr>
      <w:r>
        <w:continuationSeparator/>
      </w:r>
    </w:p>
  </w:footnote>
  <w:footnote w:id="0">
    <w:p w14:paraId="7E2ED4B9">
      <w:pPr>
        <w:spacing w:after="0" w:line="240" w:lineRule="auto"/>
        <w:jc w:val="both"/>
        <w:rPr>
          <w:rFonts w:ascii="Times New Roman" w:hAnsi="Times New Roman" w:eastAsia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hAnsi="Times New Roman" w:eastAsia="Times New Roman" w:cs="Times New Roman"/>
          <w:i/>
          <w:color w:val="000000"/>
          <w:sz w:val="18"/>
          <w:szCs w:val="18"/>
        </w:rPr>
        <w:t xml:space="preserve"> Указывается суммарное время на выполнение всех модулей КЗ одним конкурсантом.</w:t>
      </w:r>
    </w:p>
  </w:footnote>
  <w:footnote w:id="1">
    <w:p w14:paraId="1DE4C404">
      <w:pPr>
        <w:spacing w:after="0" w:line="240" w:lineRule="auto"/>
        <w:rPr>
          <w:rFonts w:ascii="Times New Roman" w:hAnsi="Times New Roman" w:eastAsia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hAnsi="Times New Roman" w:eastAsia="Times New Roman" w:cs="Times New Roman"/>
          <w:i/>
          <w:color w:val="000000"/>
          <w:sz w:val="18"/>
          <w:szCs w:val="18"/>
        </w:rPr>
        <w:t xml:space="preserve"> Указываются особенности компетенции, которые относятся ко всем возрастным категориям и чемпионатным линейкам без исключения.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4D55EC9"/>
    <w:multiLevelType w:val="multilevel"/>
    <w:tmpl w:val="14D55EC9"/>
    <w:lvl w:ilvl="0" w:tentative="0">
      <w:start w:val="1"/>
      <w:numFmt w:val="bullet"/>
      <w:pStyle w:val="80"/>
      <w:lvlText w:val=""/>
      <w:lvlJc w:val="left"/>
      <w:pPr>
        <w:ind w:left="1287" w:hanging="360"/>
      </w:pPr>
      <w:rPr>
        <w:rFonts w:hint="default" w:ascii="Symbol" w:hAnsi="Symbol"/>
      </w:rPr>
    </w:lvl>
    <w:lvl w:ilvl="1" w:tentative="0">
      <w:start w:val="1"/>
      <w:numFmt w:val="bullet"/>
      <w:lvlText w:val=""/>
      <w:lvlJc w:val="left"/>
      <w:pPr>
        <w:ind w:left="2007" w:hanging="360"/>
      </w:pPr>
      <w:rPr>
        <w:rFonts w:hint="default" w:ascii="Wingdings" w:hAnsi="Wingdings"/>
      </w:rPr>
    </w:lvl>
    <w:lvl w:ilvl="2" w:tentative="0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1">
    <w:nsid w:val="157603E3"/>
    <w:multiLevelType w:val="multilevel"/>
    <w:tmpl w:val="157603E3"/>
    <w:lvl w:ilvl="0" w:tentative="0">
      <w:start w:val="1"/>
      <w:numFmt w:val="bullet"/>
      <w:pStyle w:val="59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eastAsia="Times New Roman" w:cs="Times New Roman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</w:rPr>
    </w:lvl>
  </w:abstractNum>
  <w:abstractNum w:abstractNumId="2">
    <w:nsid w:val="1DD34C83"/>
    <w:multiLevelType w:val="multilevel"/>
    <w:tmpl w:val="1DD34C83"/>
    <w:lvl w:ilvl="0" w:tentative="0">
      <w:start w:val="1"/>
      <w:numFmt w:val="bullet"/>
      <w:pStyle w:val="71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</w:rPr>
    </w:lvl>
  </w:abstractNum>
  <w:abstractNum w:abstractNumId="3">
    <w:nsid w:val="3597213B"/>
    <w:multiLevelType w:val="multilevel"/>
    <w:tmpl w:val="3597213B"/>
    <w:lvl w:ilvl="0" w:tentative="0">
      <w:start w:val="1"/>
      <w:numFmt w:val="bullet"/>
      <w:lvlText w:val="-"/>
      <w:lvlJc w:val="left"/>
      <w:pPr>
        <w:ind w:left="720" w:hanging="360"/>
      </w:pPr>
      <w:rPr>
        <w:rFonts w:hint="default" w:ascii="Courier New" w:hAnsi="Courier New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49230CB0"/>
    <w:multiLevelType w:val="multilevel"/>
    <w:tmpl w:val="49230CB0"/>
    <w:lvl w:ilvl="0" w:tentative="0">
      <w:start w:val="1"/>
      <w:numFmt w:val="bullet"/>
      <w:pStyle w:val="49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hint="default" w:ascii="Courier New" w:hAnsi="Courier New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hint="default" w:ascii="Courier New" w:hAnsi="Courier New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</w:rPr>
    </w:lvl>
  </w:abstractNum>
  <w:abstractNum w:abstractNumId="5">
    <w:nsid w:val="4CB045DC"/>
    <w:multiLevelType w:val="multilevel"/>
    <w:tmpl w:val="4CB045DC"/>
    <w:lvl w:ilvl="0" w:tentative="0">
      <w:start w:val="1"/>
      <w:numFmt w:val="bullet"/>
      <w:lvlText w:val="-"/>
      <w:lvlJc w:val="left"/>
      <w:pPr>
        <w:ind w:left="720" w:hanging="360"/>
      </w:pPr>
      <w:rPr>
        <w:rFonts w:hint="default" w:ascii="Courier New" w:hAnsi="Courier New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nsid w:val="50F80028"/>
    <w:multiLevelType w:val="multilevel"/>
    <w:tmpl w:val="50F80028"/>
    <w:lvl w:ilvl="0" w:tentative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789" w:hanging="360"/>
      </w:pPr>
    </w:lvl>
    <w:lvl w:ilvl="2" w:tentative="0">
      <w:start w:val="1"/>
      <w:numFmt w:val="lowerRoman"/>
      <w:lvlText w:val="%3."/>
      <w:lvlJc w:val="right"/>
      <w:pPr>
        <w:ind w:left="2509" w:hanging="180"/>
      </w:pPr>
    </w:lvl>
    <w:lvl w:ilvl="3" w:tentative="0">
      <w:start w:val="1"/>
      <w:numFmt w:val="decimal"/>
      <w:lvlText w:val="%4."/>
      <w:lvlJc w:val="left"/>
      <w:pPr>
        <w:ind w:left="3229" w:hanging="360"/>
      </w:pPr>
    </w:lvl>
    <w:lvl w:ilvl="4" w:tentative="0">
      <w:start w:val="1"/>
      <w:numFmt w:val="lowerLetter"/>
      <w:lvlText w:val="%5."/>
      <w:lvlJc w:val="left"/>
      <w:pPr>
        <w:ind w:left="3949" w:hanging="360"/>
      </w:pPr>
    </w:lvl>
    <w:lvl w:ilvl="5" w:tentative="0">
      <w:start w:val="1"/>
      <w:numFmt w:val="lowerRoman"/>
      <w:lvlText w:val="%6."/>
      <w:lvlJc w:val="right"/>
      <w:pPr>
        <w:ind w:left="4669" w:hanging="180"/>
      </w:pPr>
    </w:lvl>
    <w:lvl w:ilvl="6" w:tentative="0">
      <w:start w:val="1"/>
      <w:numFmt w:val="decimal"/>
      <w:lvlText w:val="%7."/>
      <w:lvlJc w:val="left"/>
      <w:pPr>
        <w:ind w:left="5389" w:hanging="360"/>
      </w:pPr>
    </w:lvl>
    <w:lvl w:ilvl="7" w:tentative="0">
      <w:start w:val="1"/>
      <w:numFmt w:val="lowerLetter"/>
      <w:lvlText w:val="%8."/>
      <w:lvlJc w:val="left"/>
      <w:pPr>
        <w:ind w:left="6109" w:hanging="360"/>
      </w:pPr>
    </w:lvl>
    <w:lvl w:ilvl="8" w:tentative="0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6D2D2C4E"/>
    <w:multiLevelType w:val="multilevel"/>
    <w:tmpl w:val="6D2D2C4E"/>
    <w:lvl w:ilvl="0" w:tentative="0">
      <w:start w:val="1"/>
      <w:numFmt w:val="bullet"/>
      <w:lvlText w:val="-"/>
      <w:lvlJc w:val="left"/>
      <w:pPr>
        <w:ind w:left="1429" w:hanging="360"/>
      </w:pPr>
      <w:rPr>
        <w:rFonts w:hint="default" w:ascii="Courier New" w:hAnsi="Courier New"/>
      </w:rPr>
    </w:lvl>
    <w:lvl w:ilvl="1" w:tentative="0">
      <w:start w:val="1"/>
      <w:numFmt w:val="bullet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589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49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8">
    <w:nsid w:val="6DFE70D4"/>
    <w:multiLevelType w:val="multilevel"/>
    <w:tmpl w:val="6DFE70D4"/>
    <w:lvl w:ilvl="0" w:tentative="0">
      <w:start w:val="1"/>
      <w:numFmt w:val="bullet"/>
      <w:lvlText w:val="-"/>
      <w:lvlJc w:val="left"/>
      <w:pPr>
        <w:ind w:left="720" w:hanging="360"/>
      </w:pPr>
      <w:rPr>
        <w:rFonts w:hint="default" w:ascii="Courier New" w:hAnsi="Courier New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>
    <w:nsid w:val="751E6362"/>
    <w:multiLevelType w:val="multilevel"/>
    <w:tmpl w:val="751E6362"/>
    <w:lvl w:ilvl="0" w:tentative="0">
      <w:start w:val="1"/>
      <w:numFmt w:val="bullet"/>
      <w:lvlText w:val="-"/>
      <w:lvlJc w:val="left"/>
      <w:pPr>
        <w:ind w:left="1429" w:hanging="360"/>
      </w:pPr>
      <w:rPr>
        <w:rFonts w:hint="default" w:ascii="Courier New" w:hAnsi="Courier New"/>
      </w:rPr>
    </w:lvl>
    <w:lvl w:ilvl="1" w:tentative="0">
      <w:start w:val="1"/>
      <w:numFmt w:val="bullet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589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49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6"/>
  </w:num>
  <w:num w:numId="6">
    <w:abstractNumId w:val="5"/>
  </w:num>
  <w:num w:numId="7">
    <w:abstractNumId w:val="8"/>
  </w:num>
  <w:num w:numId="8">
    <w:abstractNumId w:val="3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9"/>
  <w:drawingGridHorizontalSpacing w:val="110"/>
  <w:noPunctuationKerning w:val="1"/>
  <w:characterSpacingControl w:val="doNotCompress"/>
  <w:footnotePr>
    <w:footnote w:id="4"/>
    <w:footnote w:id="5"/>
  </w:footnotePr>
  <w:endnotePr>
    <w:endnote w:id="0"/>
    <w:endnote w:id="1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F49"/>
    <w:rsid w:val="000051E8"/>
    <w:rsid w:val="00021CCE"/>
    <w:rsid w:val="000244DA"/>
    <w:rsid w:val="00024F7D"/>
    <w:rsid w:val="00035F75"/>
    <w:rsid w:val="000376F8"/>
    <w:rsid w:val="00041A78"/>
    <w:rsid w:val="00047A39"/>
    <w:rsid w:val="00054C98"/>
    <w:rsid w:val="00056CDE"/>
    <w:rsid w:val="00067386"/>
    <w:rsid w:val="000732FF"/>
    <w:rsid w:val="00081D65"/>
    <w:rsid w:val="000A1F96"/>
    <w:rsid w:val="000B3397"/>
    <w:rsid w:val="000B55A2"/>
    <w:rsid w:val="000C2FBF"/>
    <w:rsid w:val="000D258B"/>
    <w:rsid w:val="000D43CC"/>
    <w:rsid w:val="000D4C46"/>
    <w:rsid w:val="000D74AA"/>
    <w:rsid w:val="000F0FC3"/>
    <w:rsid w:val="00100FE1"/>
    <w:rsid w:val="001024BE"/>
    <w:rsid w:val="00106738"/>
    <w:rsid w:val="00114D79"/>
    <w:rsid w:val="00116638"/>
    <w:rsid w:val="001229E8"/>
    <w:rsid w:val="00127743"/>
    <w:rsid w:val="00137545"/>
    <w:rsid w:val="0015561E"/>
    <w:rsid w:val="001627D5"/>
    <w:rsid w:val="0017612A"/>
    <w:rsid w:val="001800F1"/>
    <w:rsid w:val="00194E54"/>
    <w:rsid w:val="001A67E0"/>
    <w:rsid w:val="001B1F20"/>
    <w:rsid w:val="001B4B65"/>
    <w:rsid w:val="001C00B1"/>
    <w:rsid w:val="001C1282"/>
    <w:rsid w:val="001C63E7"/>
    <w:rsid w:val="001E1DF9"/>
    <w:rsid w:val="001E39F6"/>
    <w:rsid w:val="00207E02"/>
    <w:rsid w:val="00213AF8"/>
    <w:rsid w:val="00220E70"/>
    <w:rsid w:val="002228E8"/>
    <w:rsid w:val="002274F7"/>
    <w:rsid w:val="00237603"/>
    <w:rsid w:val="00243ADE"/>
    <w:rsid w:val="00245F15"/>
    <w:rsid w:val="00247E8C"/>
    <w:rsid w:val="002650E4"/>
    <w:rsid w:val="00270E01"/>
    <w:rsid w:val="002776A1"/>
    <w:rsid w:val="0029547E"/>
    <w:rsid w:val="002A2935"/>
    <w:rsid w:val="002B1426"/>
    <w:rsid w:val="002B2DF4"/>
    <w:rsid w:val="002B3DBB"/>
    <w:rsid w:val="002D5C9C"/>
    <w:rsid w:val="002F0247"/>
    <w:rsid w:val="002F2906"/>
    <w:rsid w:val="00305CAB"/>
    <w:rsid w:val="0032065E"/>
    <w:rsid w:val="003242E1"/>
    <w:rsid w:val="00333911"/>
    <w:rsid w:val="00334165"/>
    <w:rsid w:val="003531E7"/>
    <w:rsid w:val="003601A4"/>
    <w:rsid w:val="0037535C"/>
    <w:rsid w:val="003815C7"/>
    <w:rsid w:val="00387BD3"/>
    <w:rsid w:val="003934F8"/>
    <w:rsid w:val="00397A1B"/>
    <w:rsid w:val="003A21C8"/>
    <w:rsid w:val="003B6085"/>
    <w:rsid w:val="003C1D7A"/>
    <w:rsid w:val="003C5F97"/>
    <w:rsid w:val="003D1E51"/>
    <w:rsid w:val="003E53F7"/>
    <w:rsid w:val="004254FE"/>
    <w:rsid w:val="00436FFC"/>
    <w:rsid w:val="00437D28"/>
    <w:rsid w:val="0044354A"/>
    <w:rsid w:val="00453E67"/>
    <w:rsid w:val="00454273"/>
    <w:rsid w:val="00454353"/>
    <w:rsid w:val="00456B89"/>
    <w:rsid w:val="00461AC6"/>
    <w:rsid w:val="00465470"/>
    <w:rsid w:val="00473C4A"/>
    <w:rsid w:val="00473ECC"/>
    <w:rsid w:val="0047429B"/>
    <w:rsid w:val="0048420C"/>
    <w:rsid w:val="004904C5"/>
    <w:rsid w:val="004917C4"/>
    <w:rsid w:val="004A07A5"/>
    <w:rsid w:val="004B692B"/>
    <w:rsid w:val="004B7F20"/>
    <w:rsid w:val="004C3CAF"/>
    <w:rsid w:val="004C703E"/>
    <w:rsid w:val="004D096E"/>
    <w:rsid w:val="004D7A78"/>
    <w:rsid w:val="004E5B65"/>
    <w:rsid w:val="004E64B2"/>
    <w:rsid w:val="004E785E"/>
    <w:rsid w:val="004E7905"/>
    <w:rsid w:val="005055FF"/>
    <w:rsid w:val="00510059"/>
    <w:rsid w:val="00554CBB"/>
    <w:rsid w:val="005560AC"/>
    <w:rsid w:val="00557CC0"/>
    <w:rsid w:val="00560257"/>
    <w:rsid w:val="00561024"/>
    <w:rsid w:val="0056194A"/>
    <w:rsid w:val="00565B7C"/>
    <w:rsid w:val="00571D87"/>
    <w:rsid w:val="005768E7"/>
    <w:rsid w:val="00587728"/>
    <w:rsid w:val="005A1625"/>
    <w:rsid w:val="005A203B"/>
    <w:rsid w:val="005B05D5"/>
    <w:rsid w:val="005B0DEC"/>
    <w:rsid w:val="005B1BE2"/>
    <w:rsid w:val="005B66FC"/>
    <w:rsid w:val="005C6A23"/>
    <w:rsid w:val="005E30DC"/>
    <w:rsid w:val="00603447"/>
    <w:rsid w:val="00605DD7"/>
    <w:rsid w:val="0060658F"/>
    <w:rsid w:val="00613219"/>
    <w:rsid w:val="00623534"/>
    <w:rsid w:val="0062789A"/>
    <w:rsid w:val="0063396F"/>
    <w:rsid w:val="00640E46"/>
    <w:rsid w:val="0064179C"/>
    <w:rsid w:val="00643A8A"/>
    <w:rsid w:val="0064491A"/>
    <w:rsid w:val="00653B50"/>
    <w:rsid w:val="00661658"/>
    <w:rsid w:val="0066337B"/>
    <w:rsid w:val="00666BDD"/>
    <w:rsid w:val="006776B4"/>
    <w:rsid w:val="006873B8"/>
    <w:rsid w:val="006A3CB0"/>
    <w:rsid w:val="006A3D92"/>
    <w:rsid w:val="006A4EFB"/>
    <w:rsid w:val="006B0FEA"/>
    <w:rsid w:val="006B7FED"/>
    <w:rsid w:val="006C1D0A"/>
    <w:rsid w:val="006C2C3B"/>
    <w:rsid w:val="006C6D6D"/>
    <w:rsid w:val="006C7A3B"/>
    <w:rsid w:val="006C7CE4"/>
    <w:rsid w:val="006F4464"/>
    <w:rsid w:val="006F452C"/>
    <w:rsid w:val="00700B34"/>
    <w:rsid w:val="0070676C"/>
    <w:rsid w:val="00707AF6"/>
    <w:rsid w:val="00713E79"/>
    <w:rsid w:val="00714CA4"/>
    <w:rsid w:val="007250D9"/>
    <w:rsid w:val="007274B8"/>
    <w:rsid w:val="00727F97"/>
    <w:rsid w:val="00730AE0"/>
    <w:rsid w:val="0074372D"/>
    <w:rsid w:val="00744307"/>
    <w:rsid w:val="007471EB"/>
    <w:rsid w:val="0075112C"/>
    <w:rsid w:val="00753A9D"/>
    <w:rsid w:val="007604F9"/>
    <w:rsid w:val="007628B5"/>
    <w:rsid w:val="00764773"/>
    <w:rsid w:val="007735DC"/>
    <w:rsid w:val="0078311A"/>
    <w:rsid w:val="00791D70"/>
    <w:rsid w:val="007A4C93"/>
    <w:rsid w:val="007A61C5"/>
    <w:rsid w:val="007A6888"/>
    <w:rsid w:val="007B0DCC"/>
    <w:rsid w:val="007B2222"/>
    <w:rsid w:val="007B3FD5"/>
    <w:rsid w:val="007B4A10"/>
    <w:rsid w:val="007C3E4F"/>
    <w:rsid w:val="007C3E83"/>
    <w:rsid w:val="007D2ED3"/>
    <w:rsid w:val="007D3601"/>
    <w:rsid w:val="007D6C20"/>
    <w:rsid w:val="007E73B4"/>
    <w:rsid w:val="007F62DD"/>
    <w:rsid w:val="00812516"/>
    <w:rsid w:val="00832EBB"/>
    <w:rsid w:val="00834734"/>
    <w:rsid w:val="00835BF6"/>
    <w:rsid w:val="00845B9B"/>
    <w:rsid w:val="008761F3"/>
    <w:rsid w:val="00881DD2"/>
    <w:rsid w:val="00882B54"/>
    <w:rsid w:val="008912AE"/>
    <w:rsid w:val="008B00DC"/>
    <w:rsid w:val="008B0F23"/>
    <w:rsid w:val="008B560B"/>
    <w:rsid w:val="008C1799"/>
    <w:rsid w:val="008C41F7"/>
    <w:rsid w:val="008D6DCF"/>
    <w:rsid w:val="008E525A"/>
    <w:rsid w:val="008E5424"/>
    <w:rsid w:val="00900604"/>
    <w:rsid w:val="00901689"/>
    <w:rsid w:val="009018F0"/>
    <w:rsid w:val="00901EF3"/>
    <w:rsid w:val="00906E82"/>
    <w:rsid w:val="009203A8"/>
    <w:rsid w:val="00925A48"/>
    <w:rsid w:val="00937D4D"/>
    <w:rsid w:val="009440D0"/>
    <w:rsid w:val="00945E13"/>
    <w:rsid w:val="00953113"/>
    <w:rsid w:val="00954B97"/>
    <w:rsid w:val="00955127"/>
    <w:rsid w:val="00956BC9"/>
    <w:rsid w:val="00961DA0"/>
    <w:rsid w:val="00970F49"/>
    <w:rsid w:val="009715DA"/>
    <w:rsid w:val="00976338"/>
    <w:rsid w:val="00992D9C"/>
    <w:rsid w:val="009931F0"/>
    <w:rsid w:val="009955F8"/>
    <w:rsid w:val="009A1CBC"/>
    <w:rsid w:val="009A36AD"/>
    <w:rsid w:val="009B18A2"/>
    <w:rsid w:val="009C6127"/>
    <w:rsid w:val="009D04EE"/>
    <w:rsid w:val="009D0B35"/>
    <w:rsid w:val="009E37D3"/>
    <w:rsid w:val="009E52E7"/>
    <w:rsid w:val="009E5BD9"/>
    <w:rsid w:val="009F57C0"/>
    <w:rsid w:val="00A0510D"/>
    <w:rsid w:val="00A11569"/>
    <w:rsid w:val="00A13D1B"/>
    <w:rsid w:val="00A204BB"/>
    <w:rsid w:val="00A20A67"/>
    <w:rsid w:val="00A23D56"/>
    <w:rsid w:val="00A27EE4"/>
    <w:rsid w:val="00A31621"/>
    <w:rsid w:val="00A36EE2"/>
    <w:rsid w:val="00A4187F"/>
    <w:rsid w:val="00A57976"/>
    <w:rsid w:val="00A636B8"/>
    <w:rsid w:val="00A6671B"/>
    <w:rsid w:val="00A8496D"/>
    <w:rsid w:val="00A85D42"/>
    <w:rsid w:val="00A87627"/>
    <w:rsid w:val="00A91D4B"/>
    <w:rsid w:val="00A962D4"/>
    <w:rsid w:val="00A9790B"/>
    <w:rsid w:val="00AA2B8A"/>
    <w:rsid w:val="00AB0C01"/>
    <w:rsid w:val="00AB5A5E"/>
    <w:rsid w:val="00AC7873"/>
    <w:rsid w:val="00AD2200"/>
    <w:rsid w:val="00AD74CB"/>
    <w:rsid w:val="00AE6AB7"/>
    <w:rsid w:val="00AE7A32"/>
    <w:rsid w:val="00AF6B2E"/>
    <w:rsid w:val="00AF76EA"/>
    <w:rsid w:val="00B040B1"/>
    <w:rsid w:val="00B162B5"/>
    <w:rsid w:val="00B236AD"/>
    <w:rsid w:val="00B30A26"/>
    <w:rsid w:val="00B330F5"/>
    <w:rsid w:val="00B33456"/>
    <w:rsid w:val="00B3384D"/>
    <w:rsid w:val="00B37579"/>
    <w:rsid w:val="00B40FFB"/>
    <w:rsid w:val="00B4196F"/>
    <w:rsid w:val="00B45392"/>
    <w:rsid w:val="00B45AA4"/>
    <w:rsid w:val="00B55F1E"/>
    <w:rsid w:val="00B610A2"/>
    <w:rsid w:val="00B74AA7"/>
    <w:rsid w:val="00B92840"/>
    <w:rsid w:val="00B93FD2"/>
    <w:rsid w:val="00B95B16"/>
    <w:rsid w:val="00B97386"/>
    <w:rsid w:val="00BA2CF0"/>
    <w:rsid w:val="00BC3813"/>
    <w:rsid w:val="00BC7808"/>
    <w:rsid w:val="00BE099A"/>
    <w:rsid w:val="00BE2ED0"/>
    <w:rsid w:val="00C06EBC"/>
    <w:rsid w:val="00C0723F"/>
    <w:rsid w:val="00C121F9"/>
    <w:rsid w:val="00C17B01"/>
    <w:rsid w:val="00C21E3A"/>
    <w:rsid w:val="00C26C83"/>
    <w:rsid w:val="00C31CA1"/>
    <w:rsid w:val="00C34D0A"/>
    <w:rsid w:val="00C3632F"/>
    <w:rsid w:val="00C50C6B"/>
    <w:rsid w:val="00C52383"/>
    <w:rsid w:val="00C55E91"/>
    <w:rsid w:val="00C56A9B"/>
    <w:rsid w:val="00C740CF"/>
    <w:rsid w:val="00C8277D"/>
    <w:rsid w:val="00C95538"/>
    <w:rsid w:val="00C96567"/>
    <w:rsid w:val="00C9780E"/>
    <w:rsid w:val="00C97E44"/>
    <w:rsid w:val="00CA6CCD"/>
    <w:rsid w:val="00CC50B7"/>
    <w:rsid w:val="00CD552E"/>
    <w:rsid w:val="00CD66EF"/>
    <w:rsid w:val="00CE2498"/>
    <w:rsid w:val="00CE36B8"/>
    <w:rsid w:val="00CF0DA9"/>
    <w:rsid w:val="00D02C00"/>
    <w:rsid w:val="00D0719B"/>
    <w:rsid w:val="00D12ABD"/>
    <w:rsid w:val="00D16726"/>
    <w:rsid w:val="00D16F4B"/>
    <w:rsid w:val="00D17132"/>
    <w:rsid w:val="00D2075B"/>
    <w:rsid w:val="00D229F1"/>
    <w:rsid w:val="00D37CEC"/>
    <w:rsid w:val="00D37DEA"/>
    <w:rsid w:val="00D405D4"/>
    <w:rsid w:val="00D40DCD"/>
    <w:rsid w:val="00D41269"/>
    <w:rsid w:val="00D45007"/>
    <w:rsid w:val="00D45405"/>
    <w:rsid w:val="00D47AEE"/>
    <w:rsid w:val="00D56E7C"/>
    <w:rsid w:val="00D617CC"/>
    <w:rsid w:val="00D631CC"/>
    <w:rsid w:val="00D82186"/>
    <w:rsid w:val="00D83E4E"/>
    <w:rsid w:val="00D87A1E"/>
    <w:rsid w:val="00D96994"/>
    <w:rsid w:val="00D97074"/>
    <w:rsid w:val="00DA09EC"/>
    <w:rsid w:val="00DE39D8"/>
    <w:rsid w:val="00DE5614"/>
    <w:rsid w:val="00E0407E"/>
    <w:rsid w:val="00E04FDF"/>
    <w:rsid w:val="00E15F2A"/>
    <w:rsid w:val="00E279E8"/>
    <w:rsid w:val="00E35D81"/>
    <w:rsid w:val="00E41CEE"/>
    <w:rsid w:val="00E579D6"/>
    <w:rsid w:val="00E62803"/>
    <w:rsid w:val="00E62F4F"/>
    <w:rsid w:val="00E637A6"/>
    <w:rsid w:val="00E75567"/>
    <w:rsid w:val="00E857D6"/>
    <w:rsid w:val="00E8784F"/>
    <w:rsid w:val="00EA0163"/>
    <w:rsid w:val="00EA0C3A"/>
    <w:rsid w:val="00EA30C6"/>
    <w:rsid w:val="00EB0E62"/>
    <w:rsid w:val="00EB2779"/>
    <w:rsid w:val="00EB4FF8"/>
    <w:rsid w:val="00ED18F9"/>
    <w:rsid w:val="00ED53C9"/>
    <w:rsid w:val="00ED598C"/>
    <w:rsid w:val="00EE197A"/>
    <w:rsid w:val="00EE34DA"/>
    <w:rsid w:val="00EE7DA3"/>
    <w:rsid w:val="00F10695"/>
    <w:rsid w:val="00F1662D"/>
    <w:rsid w:val="00F21D8B"/>
    <w:rsid w:val="00F229FF"/>
    <w:rsid w:val="00F3099C"/>
    <w:rsid w:val="00F33658"/>
    <w:rsid w:val="00F35F4F"/>
    <w:rsid w:val="00F44656"/>
    <w:rsid w:val="00F50AC5"/>
    <w:rsid w:val="00F6025D"/>
    <w:rsid w:val="00F672B2"/>
    <w:rsid w:val="00F773D9"/>
    <w:rsid w:val="00F8340A"/>
    <w:rsid w:val="00F83D10"/>
    <w:rsid w:val="00F93643"/>
    <w:rsid w:val="00F96243"/>
    <w:rsid w:val="00F96457"/>
    <w:rsid w:val="00FB022D"/>
    <w:rsid w:val="00FB1F17"/>
    <w:rsid w:val="00FB3492"/>
    <w:rsid w:val="00FC08A1"/>
    <w:rsid w:val="00FC415A"/>
    <w:rsid w:val="00FC6098"/>
    <w:rsid w:val="00FD20DE"/>
    <w:rsid w:val="00FD4FE9"/>
    <w:rsid w:val="278A496D"/>
    <w:rsid w:val="279726E2"/>
    <w:rsid w:val="2E2D5F8A"/>
    <w:rsid w:val="2EC14811"/>
    <w:rsid w:val="59BD6853"/>
    <w:rsid w:val="5F463C9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nhideWhenUsed="0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semiHidden="0" w:name="footnote text"/>
    <w:lsdException w:qFormat="1" w:uiPriority="0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semiHidden="0" w:name="footnote reference"/>
    <w:lsdException w:qFormat="1" w:uiPriority="0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name="Body Text 2"/>
    <w:lsdException w:uiPriority="99" w:name="Body Text 3"/>
    <w:lsdException w:qFormat="1" w:unhideWhenUsed="0" w:uiPriority="0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0" w:semiHidden="0" w:name="Balloon Text"/>
    <w:lsdException w:qFormat="1" w:unhideWhenUsed="0" w:uiPriority="39" w:semiHidden="0" w:name="Table Grid"/>
    <w:lsdException w:uiPriority="99" w:name="Table Theme"/>
    <w:lsdException w:qFormat="1" w:unhideWhenUsed="0" w:uiPriority="99" w:name="Placeholder Text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1"/>
    <w:basedOn w:val="1"/>
    <w:next w:val="1"/>
    <w:link w:val="39"/>
    <w:qFormat/>
    <w:uiPriority w:val="0"/>
    <w:pPr>
      <w:keepNext/>
      <w:spacing w:after="0" w:line="360" w:lineRule="auto"/>
      <w:contextualSpacing/>
      <w:jc w:val="center"/>
      <w:outlineLvl w:val="0"/>
    </w:pPr>
    <w:rPr>
      <w:rFonts w:ascii="Times New Roman" w:hAnsi="Times New Roman" w:eastAsia="Times New Roman" w:cs="Times New Roman"/>
      <w:b/>
      <w:bCs/>
      <w:caps/>
      <w:sz w:val="28"/>
      <w:szCs w:val="24"/>
      <w:lang w:val="en-GB"/>
    </w:rPr>
  </w:style>
  <w:style w:type="paragraph" w:styleId="3">
    <w:name w:val="heading 2"/>
    <w:basedOn w:val="1"/>
    <w:next w:val="1"/>
    <w:link w:val="40"/>
    <w:qFormat/>
    <w:uiPriority w:val="0"/>
    <w:pPr>
      <w:keepNext/>
      <w:spacing w:after="0" w:line="360" w:lineRule="auto"/>
      <w:ind w:firstLine="709"/>
      <w:contextualSpacing/>
      <w:jc w:val="both"/>
      <w:outlineLvl w:val="1"/>
    </w:pPr>
    <w:rPr>
      <w:rFonts w:ascii="Times New Roman" w:hAnsi="Times New Roman" w:eastAsia="Times New Roman" w:cs="Times New Roman"/>
      <w:b/>
      <w:sz w:val="28"/>
      <w:szCs w:val="24"/>
      <w:lang w:val="en-GB"/>
    </w:rPr>
  </w:style>
  <w:style w:type="paragraph" w:styleId="4">
    <w:name w:val="heading 3"/>
    <w:basedOn w:val="1"/>
    <w:next w:val="1"/>
    <w:link w:val="41"/>
    <w:qFormat/>
    <w:uiPriority w:val="0"/>
    <w:pPr>
      <w:keepNext/>
      <w:spacing w:after="0" w:line="360" w:lineRule="auto"/>
      <w:contextualSpacing/>
      <w:jc w:val="center"/>
      <w:outlineLvl w:val="2"/>
    </w:pPr>
    <w:rPr>
      <w:rFonts w:ascii="Times New Roman" w:hAnsi="Times New Roman" w:eastAsia="Times New Roman" w:cs="Arial"/>
      <w:b/>
      <w:bCs/>
      <w:sz w:val="28"/>
      <w:szCs w:val="26"/>
      <w:lang w:val="en-GB"/>
    </w:rPr>
  </w:style>
  <w:style w:type="paragraph" w:styleId="5">
    <w:name w:val="heading 4"/>
    <w:basedOn w:val="1"/>
    <w:next w:val="1"/>
    <w:link w:val="42"/>
    <w:qFormat/>
    <w:uiPriority w:val="0"/>
    <w:pPr>
      <w:keepNext/>
      <w:widowControl w:val="0"/>
      <w:snapToGrid w:val="0"/>
      <w:spacing w:after="0" w:line="360" w:lineRule="auto"/>
      <w:outlineLvl w:val="3"/>
    </w:pPr>
    <w:rPr>
      <w:rFonts w:ascii="Arial" w:hAnsi="Arial" w:eastAsia="Times New Roman" w:cs="Times New Roman"/>
      <w:b/>
      <w:sz w:val="28"/>
      <w:szCs w:val="20"/>
      <w:lang w:val="en-AU"/>
    </w:rPr>
  </w:style>
  <w:style w:type="paragraph" w:styleId="6">
    <w:name w:val="heading 5"/>
    <w:basedOn w:val="1"/>
    <w:next w:val="1"/>
    <w:link w:val="43"/>
    <w:qFormat/>
    <w:uiPriority w:val="0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hAnsi="Arial" w:eastAsia="Times New Roman" w:cs="Times New Roman"/>
      <w:b/>
      <w:bCs/>
      <w:sz w:val="28"/>
      <w:szCs w:val="24"/>
      <w:lang w:val="en-GB"/>
    </w:rPr>
  </w:style>
  <w:style w:type="paragraph" w:styleId="7">
    <w:name w:val="heading 6"/>
    <w:basedOn w:val="1"/>
    <w:next w:val="1"/>
    <w:link w:val="44"/>
    <w:qFormat/>
    <w:uiPriority w:val="0"/>
    <w:pPr>
      <w:keepNext/>
      <w:widowControl w:val="0"/>
      <w:snapToGrid w:val="0"/>
      <w:spacing w:after="58" w:line="360" w:lineRule="auto"/>
      <w:outlineLvl w:val="5"/>
    </w:pPr>
    <w:rPr>
      <w:rFonts w:ascii="Arial" w:hAnsi="Arial" w:eastAsia="Times New Roman" w:cs="Times New Roman"/>
      <w:b/>
      <w:sz w:val="24"/>
      <w:szCs w:val="20"/>
      <w:lang w:val="en-AU"/>
    </w:rPr>
  </w:style>
  <w:style w:type="paragraph" w:styleId="8">
    <w:name w:val="heading 7"/>
    <w:basedOn w:val="1"/>
    <w:next w:val="1"/>
    <w:link w:val="45"/>
    <w:qFormat/>
    <w:uiPriority w:val="0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hAnsi="Arial" w:eastAsia="Times New Roman" w:cs="Times New Roman"/>
      <w:spacing w:val="-3"/>
      <w:sz w:val="28"/>
      <w:szCs w:val="20"/>
      <w:lang w:val="en-US"/>
    </w:rPr>
  </w:style>
  <w:style w:type="paragraph" w:styleId="9">
    <w:name w:val="heading 8"/>
    <w:basedOn w:val="1"/>
    <w:next w:val="1"/>
    <w:link w:val="46"/>
    <w:qFormat/>
    <w:uiPriority w:val="0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hAnsi="Arial" w:eastAsia="Times New Roman" w:cs="Times New Roman"/>
      <w:b/>
      <w:bCs/>
      <w:sz w:val="24"/>
      <w:szCs w:val="24"/>
      <w:lang w:val="en-GB"/>
    </w:rPr>
  </w:style>
  <w:style w:type="paragraph" w:styleId="10">
    <w:name w:val="heading 9"/>
    <w:basedOn w:val="1"/>
    <w:next w:val="1"/>
    <w:link w:val="47"/>
    <w:qFormat/>
    <w:uiPriority w:val="0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hAnsi="Arial" w:eastAsia="Times New Roman" w:cs="Times New Roman"/>
      <w:sz w:val="24"/>
      <w:szCs w:val="20"/>
      <w:u w:val="single"/>
      <w:lang w:val="en-AU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38"/>
    <w:unhideWhenUsed/>
    <w:qFormat/>
    <w:uiPriority w:val="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4">
    <w:name w:val="Body Text"/>
    <w:basedOn w:val="1"/>
    <w:link w:val="53"/>
    <w:semiHidden/>
    <w:qFormat/>
    <w:uiPriority w:val="0"/>
    <w:pPr>
      <w:widowControl w:val="0"/>
      <w:snapToGrid w:val="0"/>
      <w:spacing w:after="0" w:line="360" w:lineRule="auto"/>
      <w:jc w:val="both"/>
    </w:pPr>
    <w:rPr>
      <w:rFonts w:ascii="Arial" w:hAnsi="Arial" w:eastAsia="Times New Roman" w:cs="Times New Roman"/>
      <w:sz w:val="24"/>
      <w:szCs w:val="20"/>
      <w:lang w:val="en-AU"/>
    </w:rPr>
  </w:style>
  <w:style w:type="paragraph" w:styleId="15">
    <w:name w:val="Body Text 2"/>
    <w:basedOn w:val="1"/>
    <w:link w:val="55"/>
    <w:semiHidden/>
    <w:qFormat/>
    <w:uiPriority w:val="0"/>
    <w:pPr>
      <w:widowControl w:val="0"/>
      <w:suppressAutoHyphens/>
      <w:snapToGrid w:val="0"/>
      <w:spacing w:after="0" w:line="360" w:lineRule="auto"/>
      <w:jc w:val="both"/>
    </w:pPr>
    <w:rPr>
      <w:rFonts w:ascii="Arial" w:hAnsi="Arial" w:eastAsia="Times New Roman" w:cs="Times New Roman"/>
      <w:spacing w:val="-3"/>
      <w:szCs w:val="20"/>
      <w:lang w:val="en-US"/>
    </w:rPr>
  </w:style>
  <w:style w:type="paragraph" w:styleId="16">
    <w:name w:val="Body Text Indent 2"/>
    <w:basedOn w:val="1"/>
    <w:link w:val="54"/>
    <w:semiHidden/>
    <w:qFormat/>
    <w:uiPriority w:val="0"/>
    <w:pPr>
      <w:spacing w:after="0" w:line="360" w:lineRule="auto"/>
      <w:ind w:left="720"/>
    </w:pPr>
    <w:rPr>
      <w:rFonts w:ascii="Arial" w:hAnsi="Arial" w:eastAsia="Times New Roman" w:cs="Times New Roman"/>
      <w:sz w:val="24"/>
      <w:szCs w:val="20"/>
      <w:lang w:val="en-US"/>
    </w:rPr>
  </w:style>
  <w:style w:type="paragraph" w:styleId="17">
    <w:name w:val="caption"/>
    <w:basedOn w:val="1"/>
    <w:next w:val="1"/>
    <w:qFormat/>
    <w:uiPriority w:val="0"/>
    <w:pPr>
      <w:widowControl w:val="0"/>
      <w:spacing w:before="240" w:after="0" w:line="360" w:lineRule="auto"/>
      <w:jc w:val="center"/>
    </w:pPr>
    <w:rPr>
      <w:rFonts w:ascii="Arial" w:hAnsi="Arial" w:eastAsia="Times New Roman" w:cs="Times New Roman"/>
      <w:b/>
      <w:sz w:val="36"/>
      <w:szCs w:val="20"/>
      <w:lang w:val="en-AU"/>
    </w:rPr>
  </w:style>
  <w:style w:type="character" w:styleId="18">
    <w:name w:val="annotation reference"/>
    <w:basedOn w:val="11"/>
    <w:semiHidden/>
    <w:unhideWhenUsed/>
    <w:qFormat/>
    <w:uiPriority w:val="0"/>
    <w:rPr>
      <w:sz w:val="16"/>
      <w:szCs w:val="16"/>
    </w:rPr>
  </w:style>
  <w:style w:type="paragraph" w:styleId="19">
    <w:name w:val="annotation text"/>
    <w:basedOn w:val="1"/>
    <w:link w:val="78"/>
    <w:semiHidden/>
    <w:unhideWhenUsed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20">
    <w:name w:val="annotation subject"/>
    <w:basedOn w:val="19"/>
    <w:next w:val="19"/>
    <w:link w:val="79"/>
    <w:semiHidden/>
    <w:unhideWhenUsed/>
    <w:qFormat/>
    <w:uiPriority w:val="0"/>
    <w:rPr>
      <w:b/>
      <w:bCs/>
    </w:rPr>
  </w:style>
  <w:style w:type="character" w:styleId="21">
    <w:name w:val="FollowedHyperlink"/>
    <w:qFormat/>
    <w:uiPriority w:val="0"/>
    <w:rPr>
      <w:color w:val="800080"/>
      <w:u w:val="single"/>
    </w:rPr>
  </w:style>
  <w:style w:type="paragraph" w:styleId="22">
    <w:name w:val="footer"/>
    <w:basedOn w:val="1"/>
    <w:link w:val="34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styleId="23">
    <w:name w:val="footnote reference"/>
    <w:qFormat/>
    <w:uiPriority w:val="0"/>
    <w:rPr>
      <w:vertAlign w:val="superscript"/>
    </w:rPr>
  </w:style>
  <w:style w:type="paragraph" w:styleId="24">
    <w:name w:val="footnote text"/>
    <w:basedOn w:val="1"/>
    <w:link w:val="58"/>
    <w:qFormat/>
    <w:uiPriority w:val="0"/>
    <w:pPr>
      <w:spacing w:after="0" w:line="360" w:lineRule="auto"/>
    </w:pPr>
    <w:rPr>
      <w:rFonts w:ascii="Times New Roman" w:hAnsi="Times New Roman" w:eastAsia="Times New Roman" w:cs="Times New Roman"/>
      <w:szCs w:val="20"/>
      <w:lang w:eastAsia="ru-RU"/>
    </w:rPr>
  </w:style>
  <w:style w:type="paragraph" w:styleId="25">
    <w:name w:val="header"/>
    <w:basedOn w:val="1"/>
    <w:link w:val="33"/>
    <w:unhideWhenUsed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styleId="26">
    <w:name w:val="Hyperlink"/>
    <w:qFormat/>
    <w:uiPriority w:val="99"/>
    <w:rPr>
      <w:color w:val="0000FF"/>
      <w:u w:val="single"/>
    </w:rPr>
  </w:style>
  <w:style w:type="character" w:styleId="27">
    <w:name w:val="page number"/>
    <w:qFormat/>
    <w:uiPriority w:val="0"/>
    <w:rPr>
      <w:rFonts w:ascii="Arial" w:hAnsi="Arial"/>
      <w:sz w:val="16"/>
    </w:rPr>
  </w:style>
  <w:style w:type="character" w:styleId="28">
    <w:name w:val="Strong"/>
    <w:basedOn w:val="11"/>
    <w:qFormat/>
    <w:uiPriority w:val="22"/>
    <w:rPr>
      <w:b/>
      <w:bCs/>
    </w:rPr>
  </w:style>
  <w:style w:type="table" w:styleId="29">
    <w:name w:val="Table Grid"/>
    <w:basedOn w:val="12"/>
    <w:qFormat/>
    <w:uiPriority w:val="39"/>
    <w:rPr>
      <w:rFonts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30">
    <w:name w:val="toc 1"/>
    <w:basedOn w:val="1"/>
    <w:next w:val="1"/>
    <w:autoRedefine/>
    <w:qFormat/>
    <w:uiPriority w:val="39"/>
    <w:pPr>
      <w:tabs>
        <w:tab w:val="right" w:leader="dot" w:pos="9355"/>
      </w:tabs>
      <w:spacing w:after="0" w:line="360" w:lineRule="auto"/>
    </w:pPr>
    <w:rPr>
      <w:rFonts w:ascii="Arial" w:hAnsi="Arial" w:eastAsia="Times New Roman" w:cs="Times New Roman"/>
      <w:bCs/>
      <w:sz w:val="24"/>
      <w:szCs w:val="28"/>
      <w:lang w:val="en-AU"/>
    </w:rPr>
  </w:style>
  <w:style w:type="paragraph" w:styleId="31">
    <w:name w:val="toc 2"/>
    <w:basedOn w:val="1"/>
    <w:next w:val="1"/>
    <w:autoRedefine/>
    <w:qFormat/>
    <w:uiPriority w:val="39"/>
    <w:pPr>
      <w:tabs>
        <w:tab w:val="left" w:pos="142"/>
        <w:tab w:val="right" w:leader="dot" w:pos="9355"/>
      </w:tabs>
      <w:spacing w:after="0" w:line="360" w:lineRule="auto"/>
    </w:pPr>
    <w:rPr>
      <w:rFonts w:ascii="Times New Roman" w:hAnsi="Times New Roman" w:eastAsia="Times New Roman" w:cs="Times New Roman"/>
      <w:szCs w:val="20"/>
      <w:lang w:eastAsia="ru-RU"/>
    </w:rPr>
  </w:style>
  <w:style w:type="paragraph" w:styleId="32">
    <w:name w:val="toc 3"/>
    <w:basedOn w:val="1"/>
    <w:next w:val="1"/>
    <w:autoRedefine/>
    <w:unhideWhenUsed/>
    <w:qFormat/>
    <w:uiPriority w:val="39"/>
    <w:pPr>
      <w:spacing w:after="100" w:line="276" w:lineRule="auto"/>
      <w:ind w:left="440"/>
    </w:pPr>
    <w:rPr>
      <w:rFonts w:ascii="Calibri" w:hAnsi="Calibri" w:eastAsia="Times New Roman" w:cs="Times New Roman"/>
      <w:lang w:eastAsia="ru-RU"/>
    </w:rPr>
  </w:style>
  <w:style w:type="character" w:customStyle="1" w:styleId="33">
    <w:name w:val="Верхний колонтитул Знак"/>
    <w:basedOn w:val="11"/>
    <w:link w:val="25"/>
    <w:qFormat/>
    <w:uiPriority w:val="99"/>
  </w:style>
  <w:style w:type="character" w:customStyle="1" w:styleId="34">
    <w:name w:val="Нижний колонтитул Знак"/>
    <w:basedOn w:val="11"/>
    <w:link w:val="22"/>
    <w:qFormat/>
    <w:uiPriority w:val="99"/>
  </w:style>
  <w:style w:type="paragraph" w:styleId="35">
    <w:name w:val="No Spacing"/>
    <w:link w:val="36"/>
    <w:qFormat/>
    <w:uiPriority w:val="1"/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customStyle="1" w:styleId="36">
    <w:name w:val="Без интервала Знак"/>
    <w:basedOn w:val="11"/>
    <w:link w:val="35"/>
    <w:uiPriority w:val="1"/>
    <w:rPr>
      <w:rFonts w:eastAsiaTheme="minorEastAsia"/>
      <w:lang w:eastAsia="ru-RU"/>
    </w:rPr>
  </w:style>
  <w:style w:type="character" w:styleId="37">
    <w:name w:val="Placeholder Text"/>
    <w:basedOn w:val="11"/>
    <w:semiHidden/>
    <w:qFormat/>
    <w:uiPriority w:val="99"/>
    <w:rPr>
      <w:color w:val="808080"/>
    </w:rPr>
  </w:style>
  <w:style w:type="character" w:customStyle="1" w:styleId="38">
    <w:name w:val="Текст выноски Знак"/>
    <w:basedOn w:val="11"/>
    <w:link w:val="13"/>
    <w:qFormat/>
    <w:uiPriority w:val="0"/>
    <w:rPr>
      <w:rFonts w:ascii="Tahoma" w:hAnsi="Tahoma" w:cs="Tahoma"/>
      <w:sz w:val="16"/>
      <w:szCs w:val="16"/>
    </w:rPr>
  </w:style>
  <w:style w:type="character" w:customStyle="1" w:styleId="39">
    <w:name w:val="Заголовок 1 Знак"/>
    <w:basedOn w:val="11"/>
    <w:link w:val="2"/>
    <w:qFormat/>
    <w:uiPriority w:val="0"/>
    <w:rPr>
      <w:rFonts w:ascii="Times New Roman" w:hAnsi="Times New Roman" w:eastAsia="Times New Roman" w:cs="Times New Roman"/>
      <w:b/>
      <w:bCs/>
      <w:caps/>
      <w:sz w:val="28"/>
      <w:szCs w:val="24"/>
      <w:lang w:val="en-GB"/>
    </w:rPr>
  </w:style>
  <w:style w:type="character" w:customStyle="1" w:styleId="40">
    <w:name w:val="Заголовок 2 Знак"/>
    <w:basedOn w:val="11"/>
    <w:link w:val="3"/>
    <w:qFormat/>
    <w:uiPriority w:val="0"/>
    <w:rPr>
      <w:rFonts w:ascii="Times New Roman" w:hAnsi="Times New Roman" w:eastAsia="Times New Roman" w:cs="Times New Roman"/>
      <w:b/>
      <w:sz w:val="28"/>
      <w:szCs w:val="24"/>
      <w:lang w:val="en-GB"/>
    </w:rPr>
  </w:style>
  <w:style w:type="character" w:customStyle="1" w:styleId="41">
    <w:name w:val="Заголовок 3 Знак"/>
    <w:basedOn w:val="11"/>
    <w:link w:val="4"/>
    <w:qFormat/>
    <w:uiPriority w:val="0"/>
    <w:rPr>
      <w:rFonts w:ascii="Times New Roman" w:hAnsi="Times New Roman" w:eastAsia="Times New Roman" w:cs="Arial"/>
      <w:b/>
      <w:bCs/>
      <w:sz w:val="28"/>
      <w:szCs w:val="26"/>
      <w:lang w:val="en-GB"/>
    </w:rPr>
  </w:style>
  <w:style w:type="character" w:customStyle="1" w:styleId="42">
    <w:name w:val="Заголовок 4 Знак"/>
    <w:basedOn w:val="11"/>
    <w:link w:val="5"/>
    <w:qFormat/>
    <w:uiPriority w:val="0"/>
    <w:rPr>
      <w:rFonts w:ascii="Arial" w:hAnsi="Arial" w:eastAsia="Times New Roman" w:cs="Times New Roman"/>
      <w:b/>
      <w:sz w:val="28"/>
      <w:szCs w:val="20"/>
      <w:lang w:val="en-AU"/>
    </w:rPr>
  </w:style>
  <w:style w:type="character" w:customStyle="1" w:styleId="43">
    <w:name w:val="Заголовок 5 Знак"/>
    <w:basedOn w:val="11"/>
    <w:link w:val="6"/>
    <w:qFormat/>
    <w:uiPriority w:val="0"/>
    <w:rPr>
      <w:rFonts w:ascii="Arial" w:hAnsi="Arial" w:eastAsia="Times New Roman" w:cs="Times New Roman"/>
      <w:b/>
      <w:bCs/>
      <w:sz w:val="28"/>
      <w:szCs w:val="24"/>
      <w:lang w:val="en-GB"/>
    </w:rPr>
  </w:style>
  <w:style w:type="character" w:customStyle="1" w:styleId="44">
    <w:name w:val="Заголовок 6 Знак"/>
    <w:basedOn w:val="11"/>
    <w:link w:val="7"/>
    <w:qFormat/>
    <w:uiPriority w:val="0"/>
    <w:rPr>
      <w:rFonts w:ascii="Arial" w:hAnsi="Arial" w:eastAsia="Times New Roman" w:cs="Times New Roman"/>
      <w:b/>
      <w:sz w:val="24"/>
      <w:szCs w:val="20"/>
      <w:lang w:val="en-AU"/>
    </w:rPr>
  </w:style>
  <w:style w:type="character" w:customStyle="1" w:styleId="45">
    <w:name w:val="Заголовок 7 Знак"/>
    <w:basedOn w:val="11"/>
    <w:link w:val="8"/>
    <w:qFormat/>
    <w:uiPriority w:val="0"/>
    <w:rPr>
      <w:rFonts w:ascii="Arial" w:hAnsi="Arial" w:eastAsia="Times New Roman" w:cs="Times New Roman"/>
      <w:spacing w:val="-3"/>
      <w:sz w:val="28"/>
      <w:szCs w:val="20"/>
      <w:lang w:val="en-US"/>
    </w:rPr>
  </w:style>
  <w:style w:type="character" w:customStyle="1" w:styleId="46">
    <w:name w:val="Заголовок 8 Знак"/>
    <w:basedOn w:val="11"/>
    <w:link w:val="9"/>
    <w:qFormat/>
    <w:uiPriority w:val="0"/>
    <w:rPr>
      <w:rFonts w:ascii="Arial" w:hAnsi="Arial" w:eastAsia="Times New Roman" w:cs="Times New Roman"/>
      <w:b/>
      <w:bCs/>
      <w:sz w:val="24"/>
      <w:szCs w:val="24"/>
      <w:lang w:val="en-GB"/>
    </w:rPr>
  </w:style>
  <w:style w:type="character" w:customStyle="1" w:styleId="47">
    <w:name w:val="Заголовок 9 Знак"/>
    <w:basedOn w:val="11"/>
    <w:link w:val="10"/>
    <w:qFormat/>
    <w:uiPriority w:val="0"/>
    <w:rPr>
      <w:rFonts w:ascii="Arial" w:hAnsi="Arial" w:eastAsia="Times New Roman" w:cs="Times New Roman"/>
      <w:sz w:val="24"/>
      <w:szCs w:val="20"/>
      <w:u w:val="single"/>
      <w:lang w:val="en-AU"/>
    </w:rPr>
  </w:style>
  <w:style w:type="paragraph" w:customStyle="1" w:styleId="48">
    <w:name w:val="numbered list"/>
    <w:basedOn w:val="49"/>
    <w:qFormat/>
    <w:uiPriority w:val="0"/>
    <w:pPr>
      <w:tabs>
        <w:tab w:val="left" w:pos="360"/>
      </w:tabs>
    </w:pPr>
  </w:style>
  <w:style w:type="paragraph" w:customStyle="1" w:styleId="49">
    <w:name w:val="bullet"/>
    <w:basedOn w:val="1"/>
    <w:qFormat/>
    <w:uiPriority w:val="0"/>
    <w:pPr>
      <w:numPr>
        <w:ilvl w:val="0"/>
        <w:numId w:val="1"/>
      </w:numPr>
      <w:spacing w:after="0" w:line="360" w:lineRule="auto"/>
    </w:pPr>
    <w:rPr>
      <w:rFonts w:ascii="Arial" w:hAnsi="Arial" w:eastAsia="Times New Roman" w:cs="Times New Roman"/>
      <w:szCs w:val="24"/>
      <w:lang w:val="en-GB"/>
    </w:rPr>
  </w:style>
  <w:style w:type="paragraph" w:customStyle="1" w:styleId="50">
    <w:name w:val="Doc subtitle1"/>
    <w:basedOn w:val="1"/>
    <w:link w:val="57"/>
    <w:uiPriority w:val="0"/>
    <w:pPr>
      <w:spacing w:after="0" w:line="360" w:lineRule="auto"/>
    </w:pPr>
    <w:rPr>
      <w:rFonts w:ascii="Arial" w:hAnsi="Arial" w:eastAsia="Times New Roman" w:cs="Times New Roman"/>
      <w:b/>
      <w:sz w:val="28"/>
      <w:szCs w:val="24"/>
      <w:lang w:val="en-GB"/>
    </w:rPr>
  </w:style>
  <w:style w:type="paragraph" w:customStyle="1" w:styleId="51">
    <w:name w:val="Doc subtitle2"/>
    <w:basedOn w:val="1"/>
    <w:qFormat/>
    <w:uiPriority w:val="0"/>
    <w:pPr>
      <w:spacing w:after="0" w:line="360" w:lineRule="auto"/>
    </w:pPr>
    <w:rPr>
      <w:rFonts w:ascii="Arial" w:hAnsi="Arial" w:eastAsia="Times New Roman" w:cs="Times New Roman"/>
      <w:sz w:val="28"/>
      <w:szCs w:val="24"/>
      <w:lang w:val="en-GB"/>
    </w:rPr>
  </w:style>
  <w:style w:type="paragraph" w:customStyle="1" w:styleId="52">
    <w:name w:val="Doc title"/>
    <w:basedOn w:val="1"/>
    <w:qFormat/>
    <w:uiPriority w:val="0"/>
    <w:pPr>
      <w:spacing w:after="0" w:line="360" w:lineRule="auto"/>
    </w:pPr>
    <w:rPr>
      <w:rFonts w:ascii="Arial" w:hAnsi="Arial" w:eastAsia="Times New Roman" w:cs="Times New Roman"/>
      <w:b/>
      <w:sz w:val="40"/>
      <w:szCs w:val="24"/>
      <w:lang w:val="en-GB"/>
    </w:rPr>
  </w:style>
  <w:style w:type="character" w:customStyle="1" w:styleId="53">
    <w:name w:val="Основной текст Знак"/>
    <w:basedOn w:val="11"/>
    <w:link w:val="14"/>
    <w:semiHidden/>
    <w:qFormat/>
    <w:uiPriority w:val="0"/>
    <w:rPr>
      <w:rFonts w:ascii="Arial" w:hAnsi="Arial" w:eastAsia="Times New Roman" w:cs="Times New Roman"/>
      <w:sz w:val="24"/>
      <w:szCs w:val="20"/>
      <w:lang w:val="en-AU"/>
    </w:rPr>
  </w:style>
  <w:style w:type="character" w:customStyle="1" w:styleId="54">
    <w:name w:val="Основной текст с отступом 2 Знак"/>
    <w:basedOn w:val="11"/>
    <w:link w:val="16"/>
    <w:semiHidden/>
    <w:qFormat/>
    <w:uiPriority w:val="0"/>
    <w:rPr>
      <w:rFonts w:ascii="Arial" w:hAnsi="Arial" w:eastAsia="Times New Roman" w:cs="Times New Roman"/>
      <w:sz w:val="24"/>
      <w:szCs w:val="20"/>
      <w:lang w:val="en-US"/>
    </w:rPr>
  </w:style>
  <w:style w:type="character" w:customStyle="1" w:styleId="55">
    <w:name w:val="Основной текст 2 Знак"/>
    <w:basedOn w:val="11"/>
    <w:link w:val="15"/>
    <w:semiHidden/>
    <w:qFormat/>
    <w:uiPriority w:val="0"/>
    <w:rPr>
      <w:rFonts w:ascii="Arial" w:hAnsi="Arial" w:eastAsia="Times New Roman" w:cs="Times New Roman"/>
      <w:spacing w:val="-3"/>
      <w:szCs w:val="20"/>
      <w:lang w:val="en-US"/>
    </w:rPr>
  </w:style>
  <w:style w:type="paragraph" w:customStyle="1" w:styleId="56">
    <w:name w:val="Абзац списка1"/>
    <w:basedOn w:val="1"/>
    <w:qFormat/>
    <w:uiPriority w:val="0"/>
    <w:pPr>
      <w:spacing w:after="0" w:line="360" w:lineRule="auto"/>
      <w:ind w:left="720"/>
    </w:pPr>
    <w:rPr>
      <w:rFonts w:ascii="Arial" w:hAnsi="Arial" w:eastAsia="Times New Roman" w:cs="Times New Roman"/>
      <w:szCs w:val="24"/>
      <w:lang w:val="en-GB"/>
    </w:rPr>
  </w:style>
  <w:style w:type="character" w:customStyle="1" w:styleId="57">
    <w:name w:val="Doc subtitle1 Char"/>
    <w:link w:val="50"/>
    <w:locked/>
    <w:uiPriority w:val="0"/>
    <w:rPr>
      <w:rFonts w:ascii="Arial" w:hAnsi="Arial" w:eastAsia="Times New Roman" w:cs="Times New Roman"/>
      <w:b/>
      <w:sz w:val="28"/>
      <w:szCs w:val="24"/>
      <w:lang w:val="en-GB"/>
    </w:rPr>
  </w:style>
  <w:style w:type="character" w:customStyle="1" w:styleId="58">
    <w:name w:val="Текст сноски Знак"/>
    <w:basedOn w:val="11"/>
    <w:link w:val="24"/>
    <w:qFormat/>
    <w:uiPriority w:val="0"/>
    <w:rPr>
      <w:rFonts w:ascii="Times New Roman" w:hAnsi="Times New Roman" w:eastAsia="Times New Roman" w:cs="Times New Roman"/>
      <w:szCs w:val="20"/>
      <w:lang w:eastAsia="ru-RU"/>
    </w:rPr>
  </w:style>
  <w:style w:type="paragraph" w:customStyle="1" w:styleId="59">
    <w:name w:val="цветной текст"/>
    <w:basedOn w:val="1"/>
    <w:qFormat/>
    <w:uiPriority w:val="0"/>
    <w:pPr>
      <w:numPr>
        <w:ilvl w:val="0"/>
        <w:numId w:val="2"/>
      </w:numPr>
      <w:spacing w:after="0" w:line="360" w:lineRule="auto"/>
      <w:jc w:val="both"/>
    </w:pPr>
    <w:rPr>
      <w:rFonts w:ascii="Times New Roman" w:hAnsi="Times New Roman" w:eastAsia="Times New Roman" w:cs="Times New Roman"/>
      <w:color w:val="2C8DE6"/>
      <w:szCs w:val="20"/>
      <w:lang w:eastAsia="ru-RU"/>
    </w:rPr>
  </w:style>
  <w:style w:type="paragraph" w:customStyle="1" w:styleId="60">
    <w:name w:val="538552DCBB0F4C4BB087ED922D6A6322"/>
    <w:uiPriority w:val="0"/>
    <w:pPr>
      <w:spacing w:after="200" w:line="276" w:lineRule="auto"/>
    </w:pPr>
    <w:rPr>
      <w:rFonts w:ascii="Calibri" w:hAnsi="Calibri" w:eastAsia="Times New Roman" w:cs="Times New Roman"/>
      <w:sz w:val="22"/>
      <w:szCs w:val="22"/>
      <w:lang w:val="ru-RU" w:eastAsia="ru-RU" w:bidi="ar-SA"/>
    </w:rPr>
  </w:style>
  <w:style w:type="paragraph" w:customStyle="1" w:styleId="61">
    <w:name w:val="выделение цвет"/>
    <w:basedOn w:val="1"/>
    <w:link w:val="72"/>
    <w:qFormat/>
    <w:uiPriority w:val="0"/>
    <w:pPr>
      <w:spacing w:after="0" w:line="360" w:lineRule="auto"/>
      <w:jc w:val="both"/>
    </w:pPr>
    <w:rPr>
      <w:rFonts w:ascii="Times New Roman" w:hAnsi="Times New Roman" w:eastAsia="Times New Roman" w:cs="Times New Roman"/>
      <w:b/>
      <w:color w:val="2C8DE6"/>
      <w:szCs w:val="20"/>
      <w:u w:val="single"/>
      <w:lang w:eastAsia="ru-RU"/>
    </w:rPr>
  </w:style>
  <w:style w:type="character" w:customStyle="1" w:styleId="62">
    <w:name w:val="цвет в таблице"/>
    <w:qFormat/>
    <w:uiPriority w:val="0"/>
    <w:rPr>
      <w:color w:val="2C8DE6"/>
    </w:rPr>
  </w:style>
  <w:style w:type="paragraph" w:customStyle="1" w:styleId="63">
    <w:name w:val="Заголовок оглавления1"/>
    <w:basedOn w:val="2"/>
    <w:next w:val="1"/>
    <w:unhideWhenUsed/>
    <w:qFormat/>
    <w:uiPriority w:val="39"/>
    <w:pPr>
      <w:keepLines/>
      <w:spacing w:before="480" w:line="276" w:lineRule="auto"/>
      <w:outlineLvl w:val="9"/>
    </w:pPr>
    <w:rPr>
      <w:rFonts w:ascii="Cambria" w:hAnsi="Cambria"/>
      <w:caps w:val="0"/>
      <w:color w:val="365F91"/>
      <w:szCs w:val="28"/>
      <w:lang w:val="ru-RU" w:eastAsia="ru-RU"/>
    </w:rPr>
  </w:style>
  <w:style w:type="paragraph" w:customStyle="1" w:styleId="64">
    <w:name w:val="!Заголовок-1"/>
    <w:basedOn w:val="2"/>
    <w:link w:val="66"/>
    <w:qFormat/>
    <w:uiPriority w:val="0"/>
    <w:rPr>
      <w:lang w:val="ru-RU"/>
    </w:rPr>
  </w:style>
  <w:style w:type="paragraph" w:customStyle="1" w:styleId="65">
    <w:name w:val="!заголовок-2"/>
    <w:basedOn w:val="3"/>
    <w:link w:val="68"/>
    <w:qFormat/>
    <w:uiPriority w:val="0"/>
    <w:rPr>
      <w:lang w:val="ru-RU"/>
    </w:rPr>
  </w:style>
  <w:style w:type="character" w:customStyle="1" w:styleId="66">
    <w:name w:val="!Заголовок-1 Знак"/>
    <w:link w:val="64"/>
    <w:qFormat/>
    <w:uiPriority w:val="0"/>
    <w:rPr>
      <w:rFonts w:ascii="Arial" w:hAnsi="Arial" w:eastAsia="Times New Roman" w:cs="Times New Roman"/>
      <w:b/>
      <w:bCs/>
      <w:caps/>
      <w:color w:val="2C8DE6"/>
      <w:sz w:val="36"/>
      <w:szCs w:val="24"/>
    </w:rPr>
  </w:style>
  <w:style w:type="paragraph" w:customStyle="1" w:styleId="67">
    <w:name w:val="!Текст"/>
    <w:basedOn w:val="1"/>
    <w:link w:val="70"/>
    <w:qFormat/>
    <w:uiPriority w:val="0"/>
    <w:pPr>
      <w:spacing w:after="0" w:line="360" w:lineRule="auto"/>
      <w:jc w:val="both"/>
    </w:pPr>
    <w:rPr>
      <w:rFonts w:ascii="Times New Roman" w:hAnsi="Times New Roman" w:eastAsia="Times New Roman" w:cs="Times New Roman"/>
      <w:szCs w:val="20"/>
      <w:lang w:eastAsia="ru-RU"/>
    </w:rPr>
  </w:style>
  <w:style w:type="character" w:customStyle="1" w:styleId="68">
    <w:name w:val="!заголовок-2 Знак"/>
    <w:link w:val="65"/>
    <w:qFormat/>
    <w:uiPriority w:val="0"/>
    <w:rPr>
      <w:rFonts w:ascii="Arial" w:hAnsi="Arial" w:eastAsia="Times New Roman" w:cs="Times New Roman"/>
      <w:b/>
      <w:sz w:val="28"/>
      <w:szCs w:val="24"/>
    </w:rPr>
  </w:style>
  <w:style w:type="paragraph" w:customStyle="1" w:styleId="69">
    <w:name w:val="!Синий заголовок текста"/>
    <w:basedOn w:val="61"/>
    <w:link w:val="73"/>
    <w:qFormat/>
    <w:uiPriority w:val="0"/>
  </w:style>
  <w:style w:type="character" w:customStyle="1" w:styleId="70">
    <w:name w:val="!Текст Знак"/>
    <w:link w:val="67"/>
    <w:qFormat/>
    <w:uiPriority w:val="0"/>
    <w:rPr>
      <w:rFonts w:ascii="Times New Roman" w:hAnsi="Times New Roman" w:eastAsia="Times New Roman" w:cs="Times New Roman"/>
      <w:szCs w:val="20"/>
      <w:lang w:eastAsia="ru-RU"/>
    </w:rPr>
  </w:style>
  <w:style w:type="paragraph" w:customStyle="1" w:styleId="71">
    <w:name w:val="!Список с точками"/>
    <w:basedOn w:val="1"/>
    <w:link w:val="75"/>
    <w:qFormat/>
    <w:uiPriority w:val="0"/>
    <w:pPr>
      <w:numPr>
        <w:ilvl w:val="0"/>
        <w:numId w:val="3"/>
      </w:numPr>
      <w:spacing w:after="0" w:line="360" w:lineRule="auto"/>
      <w:jc w:val="both"/>
    </w:pPr>
    <w:rPr>
      <w:rFonts w:ascii="Times New Roman" w:hAnsi="Times New Roman" w:eastAsia="Times New Roman" w:cs="Times New Roman"/>
      <w:szCs w:val="20"/>
      <w:lang w:eastAsia="ru-RU"/>
    </w:rPr>
  </w:style>
  <w:style w:type="character" w:customStyle="1" w:styleId="72">
    <w:name w:val="выделение цвет Знак"/>
    <w:link w:val="61"/>
    <w:qFormat/>
    <w:uiPriority w:val="0"/>
    <w:rPr>
      <w:rFonts w:ascii="Times New Roman" w:hAnsi="Times New Roman" w:eastAsia="Times New Roman" w:cs="Times New Roman"/>
      <w:b/>
      <w:color w:val="2C8DE6"/>
      <w:szCs w:val="20"/>
      <w:u w:val="single"/>
      <w:lang w:eastAsia="ru-RU"/>
    </w:rPr>
  </w:style>
  <w:style w:type="character" w:customStyle="1" w:styleId="73">
    <w:name w:val="!Синий заголовок текста Знак"/>
    <w:link w:val="69"/>
    <w:qFormat/>
    <w:uiPriority w:val="0"/>
    <w:rPr>
      <w:rFonts w:ascii="Times New Roman" w:hAnsi="Times New Roman" w:eastAsia="Times New Roman" w:cs="Times New Roman"/>
      <w:b/>
      <w:color w:val="2C8DE6"/>
      <w:szCs w:val="20"/>
      <w:u w:val="single"/>
      <w:lang w:eastAsia="ru-RU"/>
    </w:rPr>
  </w:style>
  <w:style w:type="paragraph" w:styleId="74">
    <w:name w:val="List Paragraph"/>
    <w:basedOn w:val="1"/>
    <w:qFormat/>
    <w:uiPriority w:val="34"/>
    <w:pPr>
      <w:spacing w:after="200" w:line="276" w:lineRule="auto"/>
      <w:ind w:left="720"/>
      <w:contextualSpacing/>
    </w:pPr>
    <w:rPr>
      <w:rFonts w:ascii="Calibri" w:hAnsi="Calibri" w:eastAsia="Calibri" w:cs="Times New Roman"/>
    </w:rPr>
  </w:style>
  <w:style w:type="character" w:customStyle="1" w:styleId="75">
    <w:name w:val="!Список с точками Знак"/>
    <w:link w:val="71"/>
    <w:qFormat/>
    <w:uiPriority w:val="0"/>
    <w:rPr>
      <w:rFonts w:ascii="Times New Roman" w:hAnsi="Times New Roman" w:eastAsia="Times New Roman" w:cs="Times New Roman"/>
      <w:szCs w:val="20"/>
      <w:lang w:eastAsia="ru-RU"/>
    </w:rPr>
  </w:style>
  <w:style w:type="paragraph" w:customStyle="1" w:styleId="76">
    <w:name w:val="Базовый"/>
    <w:qFormat/>
    <w:uiPriority w:val="0"/>
    <w:pPr>
      <w:suppressAutoHyphens/>
      <w:spacing w:after="200" w:line="276" w:lineRule="auto"/>
    </w:pPr>
    <w:rPr>
      <w:rFonts w:ascii="Times New Roman" w:hAnsi="Times New Roman" w:eastAsia="DejaVu Sans" w:cs="Times New Roman"/>
      <w:sz w:val="24"/>
      <w:szCs w:val="24"/>
      <w:lang w:val="ru-RU" w:eastAsia="en-US" w:bidi="ar-SA"/>
    </w:rPr>
  </w:style>
  <w:style w:type="character" w:customStyle="1" w:styleId="77">
    <w:name w:val="Интернет-ссылка"/>
    <w:qFormat/>
    <w:uiPriority w:val="0"/>
    <w:rPr>
      <w:color w:val="0000FF"/>
      <w:u w:val="single"/>
      <w:lang w:val="ru-RU" w:eastAsia="ru-RU" w:bidi="ru-RU"/>
    </w:rPr>
  </w:style>
  <w:style w:type="character" w:customStyle="1" w:styleId="78">
    <w:name w:val="Текст примечания Знак"/>
    <w:basedOn w:val="11"/>
    <w:link w:val="19"/>
    <w:semiHidden/>
    <w:qFormat/>
    <w:uiPriority w:val="0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customStyle="1" w:styleId="79">
    <w:name w:val="Тема примечания Знак"/>
    <w:basedOn w:val="78"/>
    <w:link w:val="20"/>
    <w:semiHidden/>
    <w:qFormat/>
    <w:uiPriority w:val="0"/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paragraph" w:customStyle="1" w:styleId="80">
    <w:name w:val="Lista Black"/>
    <w:basedOn w:val="14"/>
    <w:qFormat/>
    <w:uiPriority w:val="1"/>
    <w:pPr>
      <w:keepNext/>
      <w:numPr>
        <w:ilvl w:val="0"/>
        <w:numId w:val="4"/>
      </w:numPr>
      <w:snapToGrid/>
      <w:spacing w:after="120" w:line="240" w:lineRule="auto"/>
      <w:jc w:val="left"/>
    </w:pPr>
    <w:rPr>
      <w:rFonts w:ascii="Calibri" w:hAnsi="Calibri" w:eastAsia="FrutigerLTStd-Light" w:cstheme="minorBidi"/>
      <w:sz w:val="20"/>
      <w:lang w:val="en-US"/>
    </w:rPr>
  </w:style>
  <w:style w:type="character" w:customStyle="1" w:styleId="81">
    <w:name w:val="Основной текст (14)_"/>
    <w:basedOn w:val="11"/>
    <w:link w:val="82"/>
    <w:uiPriority w:val="0"/>
    <w:rPr>
      <w:rFonts w:ascii="Segoe UI" w:hAnsi="Segoe UI" w:eastAsia="Segoe UI" w:cs="Segoe UI"/>
      <w:sz w:val="19"/>
      <w:szCs w:val="19"/>
      <w:shd w:val="clear" w:color="auto" w:fill="FFFFFF"/>
    </w:rPr>
  </w:style>
  <w:style w:type="paragraph" w:customStyle="1" w:styleId="82">
    <w:name w:val="Основной текст (14)_3"/>
    <w:basedOn w:val="1"/>
    <w:link w:val="81"/>
    <w:uiPriority w:val="0"/>
    <w:pPr>
      <w:widowControl w:val="0"/>
      <w:shd w:val="clear" w:color="auto" w:fill="FFFFFF"/>
      <w:spacing w:after="0" w:line="264" w:lineRule="exact"/>
      <w:ind w:hanging="600"/>
    </w:pPr>
    <w:rPr>
      <w:rFonts w:ascii="Segoe UI" w:hAnsi="Segoe UI" w:eastAsia="Segoe UI" w:cs="Segoe UI"/>
      <w:sz w:val="19"/>
      <w:szCs w:val="19"/>
    </w:rPr>
  </w:style>
  <w:style w:type="character" w:customStyle="1" w:styleId="83">
    <w:name w:val="Неразрешенное упоминание1"/>
    <w:basedOn w:val="11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84">
    <w:name w:val="Неразрешенное упоминание2"/>
    <w:basedOn w:val="11"/>
    <w:semiHidden/>
    <w:unhideWhenUsed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C5B38E-06AF-4FE2-AF81-E4F0AB57FD4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19</Pages>
  <Words>2763</Words>
  <Characters>21096</Characters>
  <Lines>176</Lines>
  <Paragraphs>49</Paragraphs>
  <TotalTime>2</TotalTime>
  <ScaleCrop>false</ScaleCrop>
  <LinksUpToDate>false</LinksUpToDate>
  <CharactersWithSpaces>23587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2026-08-28T10:54:00Z</dcterms:created>
  <dc:creator>Copyright ©«Ворлдскиллс Россия» (Экспедирование грузов)</dc:creator>
  <cp:lastModifiedBy>svkiseleva</cp:lastModifiedBy>
  <dcterms:modified xsi:type="dcterms:W3CDTF">2026-08-31T08:35:32Z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-268643914</vt:i4>
  </property>
  <property fmtid="{D5CDD505-2E9C-101B-9397-08002B2CF9AE}" pid="3" name="KSOTemplateDocerSaveRecord">
    <vt:lpwstr>eyJoZGlkIjoiYWU2NjgwYjZmYTk3MjE4MTEyNjk4NzIwMmUxNjdlNWEifQ==</vt:lpwstr>
  </property>
  <property fmtid="{D5CDD505-2E9C-101B-9397-08002B2CF9AE}" pid="4" name="KSOProductBuildVer">
    <vt:lpwstr>1033-12.1.0.28032</vt:lpwstr>
  </property>
  <property fmtid="{D5CDD505-2E9C-101B-9397-08002B2CF9AE}" pid="5" name="ICV">
    <vt:lpwstr>D5D11EC031E446EEB100A3235327D40D_13</vt:lpwstr>
  </property>
</Properties>
</file>