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88867C4" w14:textId="3845DE2C" w:rsidR="003D4F82" w:rsidRPr="003D4F82" w:rsidRDefault="003D4F82" w:rsidP="003D4F8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3D4F82">
            <w:rPr>
              <w:rFonts w:ascii="Times New Roman" w:eastAsia="Arial Unicode MS" w:hAnsi="Times New Roman" w:cs="Times New Roman"/>
              <w:sz w:val="56"/>
              <w:szCs w:val="56"/>
            </w:rPr>
            <w:t>«БАНКОВСКОЕ ДЕЛО»</w:t>
          </w:r>
          <w:r w:rsidR="00113C4E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(</w:t>
          </w:r>
          <w:r w:rsidR="00166F60">
            <w:rPr>
              <w:rFonts w:ascii="Times New Roman" w:eastAsia="Arial Unicode MS" w:hAnsi="Times New Roman" w:cs="Times New Roman"/>
              <w:sz w:val="56"/>
              <w:szCs w:val="56"/>
            </w:rPr>
            <w:t>юниоры</w:t>
          </w:r>
          <w:r w:rsidR="00113C4E">
            <w:rPr>
              <w:rFonts w:ascii="Times New Roman" w:eastAsia="Arial Unicode MS" w:hAnsi="Times New Roman" w:cs="Times New Roman"/>
              <w:sz w:val="56"/>
              <w:szCs w:val="56"/>
            </w:rPr>
            <w:t>)</w:t>
          </w:r>
        </w:p>
        <w:p w14:paraId="2401C038" w14:textId="37232996" w:rsidR="003D4F82" w:rsidRPr="003D4F82" w:rsidRDefault="003D4F82" w:rsidP="003D4F8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D4F82"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Чемпионата по</w:t>
          </w:r>
          <w:r w:rsidR="00166F60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Pr="003D4F8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профессиональному мастерству «Профессионалы» </w:t>
          </w:r>
        </w:p>
        <w:p w14:paraId="7237DB1D" w14:textId="72FF5872" w:rsidR="003D4F82" w:rsidRPr="00166F60" w:rsidRDefault="00113C4E" w:rsidP="003D4F8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66F60">
            <w:rPr>
              <w:rFonts w:ascii="Times New Roman" w:eastAsia="Arial Unicode MS" w:hAnsi="Times New Roman" w:cs="Times New Roman"/>
              <w:sz w:val="36"/>
              <w:szCs w:val="36"/>
            </w:rPr>
            <w:t>Оренбургская область</w:t>
          </w:r>
        </w:p>
        <w:p w14:paraId="63DDDF45" w14:textId="77777777" w:rsidR="003D4F82" w:rsidRPr="003D4F82" w:rsidRDefault="003D4F82" w:rsidP="003D4F8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3D4F82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A15F2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AFF3E20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113C4E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1216CF3E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166F60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Pr="00166F60" w:rsidRDefault="009B18A2" w:rsidP="00166F6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66F6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66F6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15B28170" w:rsidR="00A4187F" w:rsidRPr="00166F60" w:rsidRDefault="0029547E" w:rsidP="00166F6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166F60">
        <w:rPr>
          <w:rFonts w:ascii="Times New Roman" w:hAnsi="Times New Roman"/>
          <w:sz w:val="28"/>
          <w:lang w:val="ru-RU" w:eastAsia="ru-RU"/>
        </w:rPr>
        <w:fldChar w:fldCharType="begin"/>
      </w:r>
      <w:r w:rsidRPr="00166F6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66F6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166F60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E9182D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……………………………….</w:t>
        </w:r>
        <w:r w:rsidR="00A4187F" w:rsidRPr="00166F6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66F60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166F60">
          <w:rPr>
            <w:rFonts w:ascii="Times New Roman" w:hAnsi="Times New Roman"/>
            <w:noProof/>
            <w:webHidden/>
            <w:sz w:val="28"/>
          </w:rPr>
        </w:r>
        <w:r w:rsidR="00A4187F" w:rsidRPr="00166F6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166F60">
          <w:rPr>
            <w:rFonts w:ascii="Times New Roman" w:hAnsi="Times New Roman"/>
            <w:noProof/>
            <w:webHidden/>
            <w:sz w:val="28"/>
          </w:rPr>
          <w:t>4</w:t>
        </w:r>
        <w:r w:rsidR="00A4187F" w:rsidRPr="00166F6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6DF0490D" w:rsidR="00A4187F" w:rsidRPr="00166F60" w:rsidRDefault="00A15F2E" w:rsidP="00166F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166F6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E9182D">
          <w:rPr>
            <w:noProof/>
            <w:webHidden/>
            <w:sz w:val="28"/>
            <w:szCs w:val="28"/>
          </w:rPr>
          <w:t>………………………………...</w:t>
        </w:r>
        <w:r w:rsidR="00A4187F" w:rsidRPr="00166F60">
          <w:rPr>
            <w:noProof/>
            <w:webHidden/>
            <w:sz w:val="28"/>
            <w:szCs w:val="28"/>
          </w:rPr>
          <w:fldChar w:fldCharType="begin"/>
        </w:r>
        <w:r w:rsidR="00A4187F" w:rsidRPr="00166F60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166F60">
          <w:rPr>
            <w:noProof/>
            <w:webHidden/>
            <w:sz w:val="28"/>
            <w:szCs w:val="28"/>
          </w:rPr>
        </w:r>
        <w:r w:rsidR="00A4187F" w:rsidRPr="00166F60">
          <w:rPr>
            <w:noProof/>
            <w:webHidden/>
            <w:sz w:val="28"/>
            <w:szCs w:val="28"/>
          </w:rPr>
          <w:fldChar w:fldCharType="separate"/>
        </w:r>
        <w:r w:rsidR="00473C4A" w:rsidRPr="00166F60">
          <w:rPr>
            <w:noProof/>
            <w:webHidden/>
            <w:sz w:val="28"/>
            <w:szCs w:val="28"/>
          </w:rPr>
          <w:t>4</w:t>
        </w:r>
        <w:r w:rsidR="00A4187F" w:rsidRPr="00166F60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31CCD887" w:rsidR="00A4187F" w:rsidRPr="00166F60" w:rsidRDefault="00A15F2E" w:rsidP="00166F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166F60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3D4F82" w:rsidRPr="00166F60">
          <w:rPr>
            <w:rStyle w:val="ae"/>
            <w:noProof/>
            <w:sz w:val="28"/>
            <w:szCs w:val="28"/>
          </w:rPr>
          <w:t>Банковское дело</w:t>
        </w:r>
        <w:r w:rsidR="00A4187F" w:rsidRPr="00166F60">
          <w:rPr>
            <w:rStyle w:val="ae"/>
            <w:noProof/>
            <w:sz w:val="28"/>
            <w:szCs w:val="28"/>
          </w:rPr>
          <w:t>»</w:t>
        </w:r>
        <w:r w:rsidR="00E9182D">
          <w:rPr>
            <w:noProof/>
            <w:webHidden/>
            <w:sz w:val="28"/>
            <w:szCs w:val="28"/>
          </w:rPr>
          <w:t>…………………………………………………………………...</w:t>
        </w:r>
        <w:r w:rsidR="00A4187F" w:rsidRPr="00166F60">
          <w:rPr>
            <w:noProof/>
            <w:webHidden/>
            <w:sz w:val="28"/>
            <w:szCs w:val="28"/>
          </w:rPr>
          <w:fldChar w:fldCharType="begin"/>
        </w:r>
        <w:r w:rsidR="00A4187F" w:rsidRPr="00166F60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166F60">
          <w:rPr>
            <w:noProof/>
            <w:webHidden/>
            <w:sz w:val="28"/>
            <w:szCs w:val="28"/>
          </w:rPr>
        </w:r>
        <w:r w:rsidR="00A4187F" w:rsidRPr="00166F60">
          <w:rPr>
            <w:noProof/>
            <w:webHidden/>
            <w:sz w:val="28"/>
            <w:szCs w:val="28"/>
          </w:rPr>
          <w:fldChar w:fldCharType="separate"/>
        </w:r>
        <w:r w:rsidR="00473C4A" w:rsidRPr="00166F60">
          <w:rPr>
            <w:noProof/>
            <w:webHidden/>
            <w:sz w:val="28"/>
            <w:szCs w:val="28"/>
          </w:rPr>
          <w:t>4</w:t>
        </w:r>
        <w:r w:rsidR="00A4187F" w:rsidRPr="00166F60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7BCF2236" w:rsidR="00A4187F" w:rsidRPr="00166F60" w:rsidRDefault="00A15F2E" w:rsidP="00166F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166F60">
          <w:rPr>
            <w:rStyle w:val="ae"/>
            <w:noProof/>
            <w:sz w:val="28"/>
            <w:szCs w:val="28"/>
          </w:rPr>
          <w:t>1.3. Требования к схеме оценки</w:t>
        </w:r>
        <w:r w:rsidR="00E9182D">
          <w:rPr>
            <w:noProof/>
            <w:webHidden/>
            <w:sz w:val="28"/>
            <w:szCs w:val="28"/>
          </w:rPr>
          <w:t>…………………………………………………….7</w:t>
        </w:r>
      </w:hyperlink>
    </w:p>
    <w:p w14:paraId="0F28D059" w14:textId="6EE48115" w:rsidR="00A4187F" w:rsidRPr="00166F60" w:rsidRDefault="00A15F2E" w:rsidP="00166F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166F6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E9182D">
          <w:rPr>
            <w:noProof/>
            <w:webHidden/>
            <w:sz w:val="28"/>
            <w:szCs w:val="28"/>
          </w:rPr>
          <w:t>…………………………………………..7</w:t>
        </w:r>
      </w:hyperlink>
    </w:p>
    <w:p w14:paraId="2BCD9144" w14:textId="0EBBB66B" w:rsidR="00A4187F" w:rsidRPr="00166F60" w:rsidRDefault="00A15F2E" w:rsidP="00166F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166F60">
          <w:rPr>
            <w:rStyle w:val="ae"/>
            <w:noProof/>
            <w:sz w:val="28"/>
            <w:szCs w:val="28"/>
          </w:rPr>
          <w:t>1.5. Конкурсное задание</w:t>
        </w:r>
        <w:r w:rsidR="00E9182D">
          <w:rPr>
            <w:noProof/>
            <w:webHidden/>
            <w:sz w:val="28"/>
            <w:szCs w:val="28"/>
          </w:rPr>
          <w:t>……………………………………………………………..8</w:t>
        </w:r>
      </w:hyperlink>
    </w:p>
    <w:p w14:paraId="084ABA9E" w14:textId="0D48FF7F" w:rsidR="00A4187F" w:rsidRPr="00166F60" w:rsidRDefault="00A15F2E" w:rsidP="00166F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166F60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E9182D">
          <w:rPr>
            <w:noProof/>
            <w:webHidden/>
            <w:sz w:val="28"/>
            <w:szCs w:val="28"/>
          </w:rPr>
          <w:t>……………………………………..8</w:t>
        </w:r>
      </w:hyperlink>
    </w:p>
    <w:p w14:paraId="35E5FBDE" w14:textId="0E6EFBF1" w:rsidR="00A4187F" w:rsidRPr="00166F60" w:rsidRDefault="00A15F2E" w:rsidP="00166F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166F60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E9182D">
          <w:rPr>
            <w:noProof/>
            <w:webHidden/>
            <w:sz w:val="28"/>
            <w:szCs w:val="28"/>
          </w:rPr>
          <w:t>………….9</w:t>
        </w:r>
      </w:hyperlink>
    </w:p>
    <w:p w14:paraId="52FC3D87" w14:textId="328296C5" w:rsidR="00A4187F" w:rsidRPr="00166F60" w:rsidRDefault="00A15F2E" w:rsidP="00166F6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166F60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E9182D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……………………………...</w:t>
        </w:r>
        <w:r w:rsidR="003F1C7D" w:rsidRPr="00166F60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E9182D">
          <w:rPr>
            <w:rFonts w:ascii="Times New Roman" w:hAnsi="Times New Roman"/>
            <w:noProof/>
            <w:webHidden/>
            <w:sz w:val="28"/>
            <w:lang w:val="ru-RU"/>
          </w:rPr>
          <w:t>1</w:t>
        </w:r>
      </w:hyperlink>
    </w:p>
    <w:p w14:paraId="31D141A1" w14:textId="4B3D3D19" w:rsidR="00A4187F" w:rsidRPr="00166F60" w:rsidRDefault="00A15F2E" w:rsidP="00166F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166F60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E9182D">
          <w:rPr>
            <w:noProof/>
            <w:webHidden/>
            <w:sz w:val="28"/>
            <w:szCs w:val="28"/>
          </w:rPr>
          <w:t>…………………………………………….</w:t>
        </w:r>
        <w:r w:rsidR="003F1C7D" w:rsidRPr="00166F60">
          <w:rPr>
            <w:noProof/>
            <w:webHidden/>
            <w:sz w:val="28"/>
            <w:szCs w:val="28"/>
          </w:rPr>
          <w:t>1</w:t>
        </w:r>
        <w:r w:rsidR="00E9182D">
          <w:rPr>
            <w:noProof/>
            <w:webHidden/>
            <w:sz w:val="28"/>
            <w:szCs w:val="28"/>
          </w:rPr>
          <w:t>2</w:t>
        </w:r>
      </w:hyperlink>
    </w:p>
    <w:p w14:paraId="43CF924F" w14:textId="47538380" w:rsidR="00A4187F" w:rsidRPr="00166F60" w:rsidRDefault="00A15F2E" w:rsidP="00166F6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166F60">
          <w:rPr>
            <w:rStyle w:val="ae"/>
            <w:noProof/>
            <w:sz w:val="28"/>
            <w:szCs w:val="28"/>
          </w:rPr>
          <w:t>2.2.</w:t>
        </w:r>
        <w:r w:rsidR="00A4187F" w:rsidRPr="00166F60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166F60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E9182D">
          <w:rPr>
            <w:noProof/>
            <w:webHidden/>
            <w:sz w:val="28"/>
            <w:szCs w:val="28"/>
          </w:rPr>
          <w:t>…...</w:t>
        </w:r>
        <w:r w:rsidR="003F1C7D" w:rsidRPr="00166F60">
          <w:rPr>
            <w:noProof/>
            <w:webHidden/>
            <w:sz w:val="28"/>
            <w:szCs w:val="28"/>
          </w:rPr>
          <w:t>1</w:t>
        </w:r>
        <w:r w:rsidR="00E9182D">
          <w:rPr>
            <w:noProof/>
            <w:webHidden/>
            <w:sz w:val="28"/>
            <w:szCs w:val="28"/>
          </w:rPr>
          <w:t>2</w:t>
        </w:r>
      </w:hyperlink>
    </w:p>
    <w:p w14:paraId="0D2CABDB" w14:textId="3C620E6A" w:rsidR="00A4187F" w:rsidRPr="00166F60" w:rsidRDefault="00A15F2E" w:rsidP="00166F6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166F60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E9182D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………………………………………………………………….</w:t>
        </w:r>
        <w:r w:rsidR="003F1C7D" w:rsidRPr="00166F60">
          <w:rPr>
            <w:rFonts w:ascii="Times New Roman" w:hAnsi="Times New Roman"/>
            <w:noProof/>
            <w:webHidden/>
            <w:sz w:val="28"/>
            <w:lang w:val="ru-RU"/>
          </w:rPr>
          <w:t>1</w:t>
        </w:r>
        <w:r w:rsidR="00E9182D">
          <w:rPr>
            <w:rFonts w:ascii="Times New Roman" w:hAnsi="Times New Roman"/>
            <w:noProof/>
            <w:webHidden/>
            <w:sz w:val="28"/>
            <w:lang w:val="ru-RU"/>
          </w:rPr>
          <w:t>2</w:t>
        </w:r>
      </w:hyperlink>
    </w:p>
    <w:p w14:paraId="36AA3717" w14:textId="05C9AB28" w:rsidR="00AA2B8A" w:rsidRPr="00A204BB" w:rsidRDefault="0029547E" w:rsidP="00166F6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66F6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166F60" w:rsidRDefault="00D37DEA" w:rsidP="00166F6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166F6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66F6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66F6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166F6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66F6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2F2EC4BD" w:rsidR="00DE39D8" w:rsidRPr="00166F60" w:rsidRDefault="00D37DEA" w:rsidP="00166F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166F60">
        <w:rPr>
          <w:rFonts w:ascii="Times New Roman" w:hAnsi="Times New Roman"/>
          <w:szCs w:val="28"/>
        </w:rPr>
        <w:t>1</w:t>
      </w:r>
      <w:r w:rsidR="00DE39D8" w:rsidRPr="00166F60">
        <w:rPr>
          <w:rFonts w:ascii="Times New Roman" w:hAnsi="Times New Roman"/>
          <w:szCs w:val="28"/>
        </w:rPr>
        <w:t xml:space="preserve">.1. </w:t>
      </w:r>
      <w:r w:rsidR="00166F60" w:rsidRPr="00166F60">
        <w:rPr>
          <w:rFonts w:ascii="Times New Roman" w:hAnsi="Times New Roman"/>
          <w:szCs w:val="28"/>
        </w:rPr>
        <w:t>Общие сведения о требованиях</w:t>
      </w:r>
      <w:r w:rsidR="00976338" w:rsidRPr="00166F60">
        <w:rPr>
          <w:rFonts w:ascii="Times New Roman" w:hAnsi="Times New Roman"/>
          <w:szCs w:val="28"/>
        </w:rPr>
        <w:t xml:space="preserve"> </w:t>
      </w:r>
      <w:r w:rsidR="00166F60" w:rsidRPr="00166F6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355D82EA" w:rsidR="00E857D6" w:rsidRPr="00166F60" w:rsidRDefault="00D37DEA" w:rsidP="00166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0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D4F82" w:rsidRPr="00166F60">
        <w:rPr>
          <w:rFonts w:ascii="Times New Roman" w:hAnsi="Times New Roman" w:cs="Times New Roman"/>
          <w:sz w:val="28"/>
          <w:szCs w:val="28"/>
        </w:rPr>
        <w:t>Банковское дело</w:t>
      </w:r>
      <w:r w:rsidRPr="00166F60">
        <w:rPr>
          <w:rFonts w:ascii="Times New Roman" w:hAnsi="Times New Roman" w:cs="Times New Roman"/>
          <w:sz w:val="28"/>
          <w:szCs w:val="28"/>
        </w:rPr>
        <w:t>»</w:t>
      </w:r>
      <w:r w:rsidR="00E857D6" w:rsidRPr="00166F6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166F60">
        <w:rPr>
          <w:rFonts w:ascii="Times New Roman" w:hAnsi="Times New Roman" w:cs="Times New Roman"/>
          <w:sz w:val="28"/>
          <w:szCs w:val="28"/>
        </w:rPr>
        <w:t>определя</w:t>
      </w:r>
      <w:r w:rsidRPr="00166F60">
        <w:rPr>
          <w:rFonts w:ascii="Times New Roman" w:hAnsi="Times New Roman" w:cs="Times New Roman"/>
          <w:sz w:val="28"/>
          <w:szCs w:val="28"/>
        </w:rPr>
        <w:t>ю</w:t>
      </w:r>
      <w:r w:rsidR="00E857D6" w:rsidRPr="00166F6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66F60">
        <w:rPr>
          <w:rFonts w:ascii="Times New Roman" w:hAnsi="Times New Roman" w:cs="Times New Roman"/>
          <w:sz w:val="28"/>
          <w:szCs w:val="28"/>
        </w:rPr>
        <w:t>я</w:t>
      </w:r>
      <w:r w:rsidR="00E857D6" w:rsidRPr="00166F6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66F6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66F6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66F6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66F6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66F6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66F6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66F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66F60" w:rsidRDefault="000244DA" w:rsidP="00166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66F6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66F6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66F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03E4753" w:rsidR="00E857D6" w:rsidRPr="00166F60" w:rsidRDefault="00C56A9B" w:rsidP="00166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0">
        <w:rPr>
          <w:rFonts w:ascii="Times New Roman" w:hAnsi="Times New Roman" w:cs="Times New Roman"/>
          <w:sz w:val="28"/>
          <w:szCs w:val="28"/>
        </w:rPr>
        <w:t>Т</w:t>
      </w:r>
      <w:r w:rsidR="00D37DEA" w:rsidRPr="00166F6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66F6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66F60">
        <w:rPr>
          <w:rFonts w:ascii="Times New Roman" w:hAnsi="Times New Roman" w:cs="Times New Roman"/>
          <w:sz w:val="28"/>
          <w:szCs w:val="28"/>
        </w:rPr>
        <w:t>явля</w:t>
      </w:r>
      <w:r w:rsidR="00D37DEA" w:rsidRPr="00166F60">
        <w:rPr>
          <w:rFonts w:ascii="Times New Roman" w:hAnsi="Times New Roman" w:cs="Times New Roman"/>
          <w:sz w:val="28"/>
          <w:szCs w:val="28"/>
        </w:rPr>
        <w:t>ю</w:t>
      </w:r>
      <w:r w:rsidR="00E857D6" w:rsidRPr="00166F6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66F60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166F60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166F60">
        <w:rPr>
          <w:rFonts w:ascii="Times New Roman" w:hAnsi="Times New Roman" w:cs="Times New Roman"/>
          <w:sz w:val="28"/>
          <w:szCs w:val="28"/>
        </w:rPr>
        <w:t>участия их в</w:t>
      </w:r>
      <w:r w:rsidR="00166F60">
        <w:rPr>
          <w:rFonts w:ascii="Times New Roman" w:hAnsi="Times New Roman" w:cs="Times New Roman"/>
          <w:sz w:val="28"/>
          <w:szCs w:val="28"/>
        </w:rPr>
        <w:t> </w:t>
      </w:r>
      <w:r w:rsidR="009E37D3" w:rsidRPr="00166F60">
        <w:rPr>
          <w:rFonts w:ascii="Times New Roman" w:hAnsi="Times New Roman" w:cs="Times New Roman"/>
          <w:sz w:val="28"/>
          <w:szCs w:val="28"/>
        </w:rPr>
        <w:t xml:space="preserve"> конкурсах профессионального мастерства.</w:t>
      </w:r>
    </w:p>
    <w:p w14:paraId="4E767B36" w14:textId="0721D61D" w:rsidR="00E857D6" w:rsidRPr="00166F60" w:rsidRDefault="00E857D6" w:rsidP="00166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66F6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66F6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66F60">
        <w:rPr>
          <w:rFonts w:ascii="Times New Roman" w:hAnsi="Times New Roman" w:cs="Times New Roman"/>
          <w:sz w:val="28"/>
          <w:szCs w:val="28"/>
        </w:rPr>
        <w:t>, умений, навыков и</w:t>
      </w:r>
      <w:r w:rsidR="00166F60">
        <w:rPr>
          <w:rFonts w:ascii="Times New Roman" w:hAnsi="Times New Roman" w:cs="Times New Roman"/>
          <w:sz w:val="28"/>
          <w:szCs w:val="28"/>
        </w:rPr>
        <w:t> </w:t>
      </w:r>
      <w:r w:rsidR="009E37D3" w:rsidRPr="00166F60">
        <w:rPr>
          <w:rFonts w:ascii="Times New Roman" w:hAnsi="Times New Roman" w:cs="Times New Roman"/>
          <w:sz w:val="28"/>
          <w:szCs w:val="28"/>
        </w:rPr>
        <w:t xml:space="preserve">трудовых функций </w:t>
      </w:r>
      <w:r w:rsidRPr="00166F6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66F6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66F6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38F9EB37" w:rsidR="00E857D6" w:rsidRPr="00166F60" w:rsidRDefault="00D37DEA" w:rsidP="00166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66F6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66F6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66F60">
        <w:rPr>
          <w:rFonts w:ascii="Times New Roman" w:hAnsi="Times New Roman" w:cs="Times New Roman"/>
          <w:sz w:val="28"/>
          <w:szCs w:val="28"/>
        </w:rPr>
        <w:t>ы</w:t>
      </w:r>
      <w:r w:rsidR="00E857D6" w:rsidRPr="00166F6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66F60">
        <w:rPr>
          <w:rFonts w:ascii="Times New Roman" w:hAnsi="Times New Roman" w:cs="Times New Roman"/>
          <w:sz w:val="28"/>
          <w:szCs w:val="28"/>
        </w:rPr>
        <w:t xml:space="preserve"> четкие разделы с номерами и</w:t>
      </w:r>
      <w:r w:rsidR="00166F60">
        <w:rPr>
          <w:rFonts w:ascii="Times New Roman" w:hAnsi="Times New Roman" w:cs="Times New Roman"/>
          <w:sz w:val="28"/>
          <w:szCs w:val="28"/>
        </w:rPr>
        <w:t> </w:t>
      </w:r>
      <w:r w:rsidR="00056CDE" w:rsidRPr="00166F60">
        <w:rPr>
          <w:rFonts w:ascii="Times New Roman" w:hAnsi="Times New Roman" w:cs="Times New Roman"/>
          <w:sz w:val="28"/>
          <w:szCs w:val="28"/>
        </w:rPr>
        <w:t>заголовками</w:t>
      </w:r>
      <w:r w:rsidR="00C56A9B" w:rsidRPr="00166F60">
        <w:rPr>
          <w:rFonts w:ascii="Times New Roman" w:hAnsi="Times New Roman" w:cs="Times New Roman"/>
          <w:sz w:val="28"/>
          <w:szCs w:val="28"/>
        </w:rPr>
        <w:t>, к</w:t>
      </w:r>
      <w:r w:rsidR="00E857D6" w:rsidRPr="00166F6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66F60">
        <w:rPr>
          <w:rFonts w:ascii="Times New Roman" w:hAnsi="Times New Roman" w:cs="Times New Roman"/>
          <w:sz w:val="28"/>
          <w:szCs w:val="28"/>
        </w:rPr>
        <w:t>, с</w:t>
      </w:r>
      <w:r w:rsidR="00056CDE" w:rsidRPr="00166F6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66F6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66F6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522A619" w:rsidR="000244DA" w:rsidRPr="00166F60" w:rsidRDefault="00270E01" w:rsidP="00166F6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166F60">
        <w:rPr>
          <w:rFonts w:ascii="Times New Roman" w:hAnsi="Times New Roman"/>
          <w:szCs w:val="28"/>
        </w:rPr>
        <w:t>1</w:t>
      </w:r>
      <w:r w:rsidR="00D17132" w:rsidRPr="00166F60">
        <w:rPr>
          <w:rFonts w:ascii="Times New Roman" w:hAnsi="Times New Roman"/>
          <w:szCs w:val="28"/>
        </w:rPr>
        <w:t>.</w:t>
      </w:r>
      <w:bookmarkEnd w:id="4"/>
      <w:r w:rsidR="00166F60" w:rsidRPr="00166F60">
        <w:rPr>
          <w:rFonts w:ascii="Times New Roman" w:hAnsi="Times New Roman"/>
          <w:szCs w:val="28"/>
        </w:rPr>
        <w:t>2. Перечень профессиональных</w:t>
      </w:r>
      <w:r w:rsidR="00D17132" w:rsidRPr="00166F60">
        <w:rPr>
          <w:rFonts w:ascii="Times New Roman" w:hAnsi="Times New Roman"/>
          <w:szCs w:val="28"/>
        </w:rPr>
        <w:t xml:space="preserve"> </w:t>
      </w:r>
      <w:r w:rsidR="00166F60" w:rsidRPr="00166F60">
        <w:rPr>
          <w:rFonts w:ascii="Times New Roman" w:hAnsi="Times New Roman"/>
          <w:szCs w:val="28"/>
        </w:rPr>
        <w:t>задач специалиста по компетенции «</w:t>
      </w:r>
      <w:r w:rsidR="00166F60">
        <w:rPr>
          <w:rFonts w:ascii="Times New Roman" w:hAnsi="Times New Roman"/>
          <w:szCs w:val="28"/>
        </w:rPr>
        <w:t>Б</w:t>
      </w:r>
      <w:r w:rsidR="00166F60" w:rsidRPr="00166F60">
        <w:rPr>
          <w:rFonts w:ascii="Times New Roman" w:hAnsi="Times New Roman"/>
          <w:szCs w:val="28"/>
        </w:rPr>
        <w:t>анковское дело</w:t>
      </w:r>
      <w:r w:rsidRPr="00166F60">
        <w:rPr>
          <w:rFonts w:ascii="Times New Roman" w:hAnsi="Times New Roman"/>
          <w:szCs w:val="28"/>
        </w:rPr>
        <w:t>»</w:t>
      </w:r>
      <w:bookmarkEnd w:id="5"/>
    </w:p>
    <w:p w14:paraId="38842FEA" w14:textId="2A5F9407" w:rsidR="003242E1" w:rsidRPr="00166F60" w:rsidRDefault="003242E1" w:rsidP="00166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166F60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166F60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166F60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166F60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166F60">
        <w:rPr>
          <w:rFonts w:ascii="Times New Roman" w:hAnsi="Times New Roman" w:cs="Times New Roman"/>
          <w:sz w:val="28"/>
          <w:szCs w:val="28"/>
        </w:rPr>
        <w:t>,</w:t>
      </w:r>
      <w:r w:rsidR="00270E01" w:rsidRPr="00166F60">
        <w:rPr>
          <w:rFonts w:ascii="Times New Roman" w:hAnsi="Times New Roman" w:cs="Times New Roman"/>
          <w:sz w:val="28"/>
          <w:szCs w:val="28"/>
        </w:rPr>
        <w:t xml:space="preserve"> профессиональных трудовых функций специалиста базируется на требованиях современного рынка труда к данному специалисту</w:t>
      </w:r>
      <w:r w:rsidR="00166F60">
        <w:rPr>
          <w:rFonts w:ascii="Times New Roman" w:hAnsi="Times New Roman" w:cs="Times New Roman"/>
          <w:sz w:val="28"/>
          <w:szCs w:val="28"/>
        </w:rPr>
        <w:t>.</w:t>
      </w:r>
    </w:p>
    <w:p w14:paraId="1D7BF307" w14:textId="2FBE8E36" w:rsidR="00C56A9B" w:rsidRPr="00166F60" w:rsidRDefault="00C56A9B" w:rsidP="00166F6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6F6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166F60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3C6273E7" w:rsidR="00640E46" w:rsidRPr="00166F60" w:rsidRDefault="00640E46" w:rsidP="00166F60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6F6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8015"/>
        <w:gridCol w:w="1280"/>
      </w:tblGrid>
      <w:tr w:rsidR="003D4F82" w:rsidRPr="00166F60" w14:paraId="773B9D7B" w14:textId="77777777" w:rsidTr="00166F60">
        <w:trPr>
          <w:tblHeader/>
        </w:trPr>
        <w:tc>
          <w:tcPr>
            <w:tcW w:w="284" w:type="pct"/>
            <w:shd w:val="clear" w:color="auto" w:fill="92D050"/>
          </w:tcPr>
          <w:p w14:paraId="1830C58E" w14:textId="77777777" w:rsidR="003D4F82" w:rsidRPr="00166F60" w:rsidRDefault="003D4F82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6" w:type="pct"/>
            <w:shd w:val="clear" w:color="auto" w:fill="92D050"/>
            <w:vAlign w:val="center"/>
          </w:tcPr>
          <w:p w14:paraId="2217AA2F" w14:textId="77777777" w:rsidR="003D4F82" w:rsidRPr="00166F60" w:rsidRDefault="003D4F82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9" w:type="pct"/>
            <w:shd w:val="clear" w:color="auto" w:fill="92D050"/>
            <w:vAlign w:val="center"/>
          </w:tcPr>
          <w:p w14:paraId="00E89F80" w14:textId="77777777" w:rsidR="003D4F82" w:rsidRPr="00166F60" w:rsidRDefault="003D4F82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D4F82" w:rsidRPr="00166F60" w14:paraId="432E2710" w14:textId="77777777" w:rsidTr="00166F60">
        <w:tc>
          <w:tcPr>
            <w:tcW w:w="284" w:type="pct"/>
            <w:vMerge w:val="restart"/>
            <w:shd w:val="clear" w:color="auto" w:fill="BFBFBF" w:themeFill="background1" w:themeFillShade="BF"/>
          </w:tcPr>
          <w:p w14:paraId="4515696D" w14:textId="77777777" w:rsidR="003D4F82" w:rsidRPr="00166F60" w:rsidRDefault="003D4F82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6" w:type="pct"/>
            <w:shd w:val="clear" w:color="auto" w:fill="auto"/>
            <w:vAlign w:val="center"/>
          </w:tcPr>
          <w:p w14:paraId="617A55A2" w14:textId="77777777" w:rsidR="003D4F82" w:rsidRPr="00166F60" w:rsidRDefault="003D4F82" w:rsidP="00166F6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процесса, охрана труда и техника безопасности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D341C4B" w14:textId="42EF3854" w:rsidR="003D4F82" w:rsidRPr="00166F60" w:rsidRDefault="003D4F82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0776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166F60" w:rsidRPr="00166F60" w14:paraId="21A2F8C5" w14:textId="77777777" w:rsidTr="00166F60">
        <w:tc>
          <w:tcPr>
            <w:tcW w:w="284" w:type="pct"/>
            <w:vMerge/>
            <w:shd w:val="clear" w:color="auto" w:fill="BFBFBF" w:themeFill="background1" w:themeFillShade="BF"/>
          </w:tcPr>
          <w:p w14:paraId="5C9D6508" w14:textId="77777777" w:rsidR="00166F60" w:rsidRPr="00166F60" w:rsidRDefault="00166F60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1D39C40B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228F32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документацию и правила по охране труда и технике безопасности;</w:t>
            </w:r>
          </w:p>
          <w:p w14:paraId="64DC49A7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нормативно-законодательную базу в области организации банковского дела;</w:t>
            </w:r>
          </w:p>
          <w:p w14:paraId="7202795C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поддержания рабочего места в надлежащем состоянии;</w:t>
            </w:r>
          </w:p>
          <w:p w14:paraId="63F6BBA0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значимость планирования всего рабочего процесса, как выстраивать </w:t>
            </w:r>
            <w:r w:rsidRPr="0016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эффективную работу и распределять рабочее время;</w:t>
            </w:r>
          </w:p>
          <w:p w14:paraId="0B88D70C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ab/>
              <w:t>виды банковских продуктов и услуг, банковских операций и принципы их осуществления</w:t>
            </w:r>
          </w:p>
          <w:p w14:paraId="1BAEACBF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дресс-кода.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1725D682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F60" w:rsidRPr="00166F60" w14:paraId="61877E43" w14:textId="77777777" w:rsidTr="00166F60">
        <w:tc>
          <w:tcPr>
            <w:tcW w:w="284" w:type="pct"/>
            <w:vMerge/>
            <w:shd w:val="clear" w:color="auto" w:fill="BFBFBF" w:themeFill="background1" w:themeFillShade="BF"/>
          </w:tcPr>
          <w:p w14:paraId="042E523F" w14:textId="77777777" w:rsidR="00166F60" w:rsidRPr="00166F60" w:rsidRDefault="00166F60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0015E29A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2A2EBC2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требования по охране труда и технике безопасности;</w:t>
            </w:r>
          </w:p>
          <w:p w14:paraId="1F3B6C10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нормативные правовые акты в банковской деятельности;</w:t>
            </w:r>
          </w:p>
          <w:p w14:paraId="45AD6938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рабочее место для максимально эффективной работы;</w:t>
            </w:r>
          </w:p>
          <w:p w14:paraId="28AA6728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 планировать свою работу, оценивать сроки, продумывать алгоритм действий;</w:t>
            </w:r>
          </w:p>
          <w:p w14:paraId="2C442CE5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условиях изменяющихся условий, в том числе в стрессовых.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14:paraId="4E7B0BFB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F82" w:rsidRPr="00166F60" w14:paraId="6D449E55" w14:textId="77777777" w:rsidTr="00166F60">
        <w:tc>
          <w:tcPr>
            <w:tcW w:w="284" w:type="pct"/>
            <w:vMerge w:val="restart"/>
            <w:shd w:val="clear" w:color="auto" w:fill="BFBFBF" w:themeFill="background1" w:themeFillShade="BF"/>
          </w:tcPr>
          <w:p w14:paraId="2603C7A1" w14:textId="77777777" w:rsidR="003D4F82" w:rsidRPr="00166F60" w:rsidRDefault="003D4F82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6" w:type="pct"/>
            <w:shd w:val="clear" w:color="auto" w:fill="auto"/>
            <w:vAlign w:val="center"/>
          </w:tcPr>
          <w:p w14:paraId="7A0E258E" w14:textId="77777777" w:rsidR="003D4F82" w:rsidRPr="00166F60" w:rsidRDefault="003D4F82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коммуникация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0BC3B006" w14:textId="582A7AAC" w:rsidR="003D4F82" w:rsidRPr="00166F60" w:rsidRDefault="00A256CB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44,5</w:t>
            </w:r>
          </w:p>
        </w:tc>
      </w:tr>
      <w:tr w:rsidR="00166F60" w:rsidRPr="00166F60" w14:paraId="4F4FA6F5" w14:textId="77777777" w:rsidTr="00166F60">
        <w:tc>
          <w:tcPr>
            <w:tcW w:w="284" w:type="pct"/>
            <w:vMerge/>
            <w:shd w:val="clear" w:color="auto" w:fill="BFBFBF" w:themeFill="background1" w:themeFillShade="BF"/>
          </w:tcPr>
          <w:p w14:paraId="7C7B2001" w14:textId="4671913A" w:rsidR="00166F60" w:rsidRPr="00166F60" w:rsidRDefault="00166F60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vAlign w:val="center"/>
          </w:tcPr>
          <w:p w14:paraId="1A87D3C1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7D363A9" w14:textId="77777777" w:rsidR="00166F60" w:rsidRPr="00166F60" w:rsidRDefault="00166F60" w:rsidP="00166F60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делового общения с клиентами; </w:t>
            </w:r>
          </w:p>
          <w:p w14:paraId="33A32E5A" w14:textId="77777777" w:rsidR="00166F60" w:rsidRPr="00166F60" w:rsidRDefault="00166F60" w:rsidP="00166F60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навыки делового общения и межкультурной коммуникации;</w:t>
            </w:r>
          </w:p>
          <w:p w14:paraId="1635F203" w14:textId="77777777" w:rsidR="00166F60" w:rsidRPr="00166F60" w:rsidRDefault="00166F60" w:rsidP="00166F60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теория и практика переговорного процесса;</w:t>
            </w:r>
          </w:p>
          <w:p w14:paraId="2E922339" w14:textId="77777777" w:rsidR="00166F60" w:rsidRPr="00166F60" w:rsidRDefault="00166F60" w:rsidP="00166F60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правила корпоративной этики;</w:t>
            </w:r>
          </w:p>
          <w:p w14:paraId="375E1C25" w14:textId="77777777" w:rsidR="00166F60" w:rsidRPr="00166F60" w:rsidRDefault="00166F60" w:rsidP="00166F60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 и практические навыки регулирования конфликтов;</w:t>
            </w:r>
          </w:p>
          <w:p w14:paraId="306A9A7F" w14:textId="77777777" w:rsidR="00166F60" w:rsidRPr="00166F60" w:rsidRDefault="00166F60" w:rsidP="00166F60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F60">
              <w:rPr>
                <w:rFonts w:ascii="Times New Roman" w:hAnsi="Times New Roman"/>
                <w:sz w:val="24"/>
                <w:szCs w:val="24"/>
              </w:rPr>
              <w:t>психология общения и ведение консультационной работы с клиентами.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04B5D8ED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F60" w:rsidRPr="00166F60" w14:paraId="24352623" w14:textId="77777777" w:rsidTr="00166F60">
        <w:tc>
          <w:tcPr>
            <w:tcW w:w="284" w:type="pct"/>
            <w:vMerge/>
            <w:shd w:val="clear" w:color="auto" w:fill="BFBFBF" w:themeFill="background1" w:themeFillShade="BF"/>
          </w:tcPr>
          <w:p w14:paraId="3DC4DAF2" w14:textId="77777777" w:rsidR="00166F60" w:rsidRPr="00166F60" w:rsidRDefault="00166F60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vAlign w:val="center"/>
          </w:tcPr>
          <w:p w14:paraId="44105CDE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2C77A27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консультировать клиента на предмет порядка и процедуры оформления банковского продукта и услуги;</w:t>
            </w:r>
          </w:p>
          <w:p w14:paraId="79A60B46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понимать и верно использовать общепринятую терминологию по компетенции;</w:t>
            </w:r>
          </w:p>
          <w:p w14:paraId="720B65DA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выявлять потребности клиента по видам и условиям банковских продуктов и услуг;</w:t>
            </w:r>
          </w:p>
          <w:p w14:paraId="3A4F4BEA" w14:textId="77777777" w:rsidR="00166F60" w:rsidRPr="00166F60" w:rsidRDefault="00166F60" w:rsidP="00166F60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оказывать клиенту помощь в подборе оптимального варианта банковского продукта в соответствии с выявленными потребностями;</w:t>
            </w:r>
          </w:p>
          <w:p w14:paraId="0F202342" w14:textId="77777777" w:rsidR="00166F60" w:rsidRPr="00166F60" w:rsidRDefault="00166F60" w:rsidP="00166F60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оперативно принимать решения по предложению и продаже клиенту дополнительного банковского продукта и услуги (кросс-продажа);</w:t>
            </w:r>
          </w:p>
          <w:p w14:paraId="5EF546E2" w14:textId="77777777" w:rsidR="00166F60" w:rsidRPr="00166F60" w:rsidRDefault="00166F60" w:rsidP="00166F60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выбирать формы и методы взаимодействия с заемщиками, имеющими просроченную задолженность;</w:t>
            </w:r>
          </w:p>
          <w:p w14:paraId="02AD36E1" w14:textId="77777777" w:rsidR="00166F60" w:rsidRPr="00166F60" w:rsidRDefault="00166F60" w:rsidP="00166F60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подбирать и применять методы и способы эффективной деловой коммуникации с учетом индивидуальных особенностей клиента;</w:t>
            </w:r>
          </w:p>
          <w:p w14:paraId="4A1F02FF" w14:textId="77777777" w:rsidR="00166F60" w:rsidRPr="00166F60" w:rsidRDefault="00166F60" w:rsidP="00166F60">
            <w:pPr>
              <w:pStyle w:val="aff1"/>
              <w:numPr>
                <w:ilvl w:val="0"/>
                <w:numId w:val="26"/>
              </w:numPr>
              <w:tabs>
                <w:tab w:val="left" w:pos="200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F60">
              <w:rPr>
                <w:rFonts w:ascii="Times New Roman" w:hAnsi="Times New Roman"/>
                <w:sz w:val="24"/>
                <w:szCs w:val="24"/>
              </w:rPr>
              <w:t xml:space="preserve">доступно излагать условия банковских продуктов и услуг с целью </w:t>
            </w:r>
            <w:proofErr w:type="spellStart"/>
            <w:r w:rsidRPr="00166F60">
              <w:rPr>
                <w:rFonts w:ascii="Times New Roman" w:hAnsi="Times New Roman"/>
                <w:sz w:val="24"/>
                <w:szCs w:val="24"/>
              </w:rPr>
              <w:t>избежания</w:t>
            </w:r>
            <w:proofErr w:type="spellEnd"/>
            <w:r w:rsidRPr="00166F60">
              <w:rPr>
                <w:rFonts w:ascii="Times New Roman" w:hAnsi="Times New Roman"/>
                <w:sz w:val="24"/>
                <w:szCs w:val="24"/>
              </w:rPr>
              <w:t xml:space="preserve"> двусмысленности или возможного недопонимая клиентами, не обладающими специальными знаниями в банковской сфере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14:paraId="22C2BF64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F82" w:rsidRPr="00166F60" w14:paraId="49129814" w14:textId="77777777" w:rsidTr="00166F60">
        <w:tc>
          <w:tcPr>
            <w:tcW w:w="284" w:type="pct"/>
            <w:vMerge w:val="restart"/>
            <w:shd w:val="clear" w:color="auto" w:fill="BFBFBF" w:themeFill="background1" w:themeFillShade="BF"/>
          </w:tcPr>
          <w:p w14:paraId="2604D925" w14:textId="77777777" w:rsidR="003D4F82" w:rsidRPr="00166F60" w:rsidRDefault="003D4F82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66" w:type="pct"/>
            <w:shd w:val="clear" w:color="auto" w:fill="auto"/>
            <w:vAlign w:val="center"/>
          </w:tcPr>
          <w:p w14:paraId="230B1E69" w14:textId="77777777" w:rsidR="003D4F82" w:rsidRPr="00166F60" w:rsidRDefault="003D4F82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 и офисное оборудование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7C9A5DEF" w14:textId="45E65CD6" w:rsidR="003D4F82" w:rsidRPr="00166F60" w:rsidRDefault="003D4F82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66F6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166F60" w:rsidRPr="00166F60" w14:paraId="13FC2923" w14:textId="77777777" w:rsidTr="00166F60">
        <w:tc>
          <w:tcPr>
            <w:tcW w:w="284" w:type="pct"/>
            <w:vMerge/>
            <w:shd w:val="clear" w:color="auto" w:fill="BFBFBF" w:themeFill="background1" w:themeFillShade="BF"/>
          </w:tcPr>
          <w:p w14:paraId="696113A6" w14:textId="77777777" w:rsidR="00166F60" w:rsidRPr="00166F60" w:rsidRDefault="00166F60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vAlign w:val="center"/>
          </w:tcPr>
          <w:p w14:paraId="4C3BC615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C2AFA5B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сфере;</w:t>
            </w:r>
          </w:p>
          <w:p w14:paraId="07D35006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влияние новых цифровых технологий;</w:t>
            </w:r>
          </w:p>
          <w:p w14:paraId="50B1BD49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виды и специфику специализированного программного обеспечения.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4DB781D2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F60" w:rsidRPr="00166F60" w14:paraId="2FB809C2" w14:textId="77777777" w:rsidTr="00166F60">
        <w:tc>
          <w:tcPr>
            <w:tcW w:w="284" w:type="pct"/>
            <w:vMerge/>
            <w:shd w:val="clear" w:color="auto" w:fill="BFBFBF" w:themeFill="background1" w:themeFillShade="BF"/>
          </w:tcPr>
          <w:p w14:paraId="4BC2E101" w14:textId="77777777" w:rsidR="00166F60" w:rsidRPr="00166F60" w:rsidRDefault="00166F60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vAlign w:val="center"/>
          </w:tcPr>
          <w:p w14:paraId="0E3ED389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B45DF07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цифровые технологии и инструменты;</w:t>
            </w:r>
          </w:p>
          <w:p w14:paraId="6289C21E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разнообразное программное обеспечение для осуществления своей деятельности;</w:t>
            </w:r>
          </w:p>
          <w:p w14:paraId="59E8EA0A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находить контактные данные клиента в специализированных базах данных;</w:t>
            </w:r>
          </w:p>
          <w:p w14:paraId="5767661C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пользоваться персональным компьютером, другими организационно-техническими средствами и офисным оборудованием;</w:t>
            </w:r>
          </w:p>
          <w:p w14:paraId="34C53044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профессионально и грамотно пользоваться компьютером как средством управления информацией.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14:paraId="0BD9705B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F82" w:rsidRPr="00166F60" w14:paraId="2AD6F06A" w14:textId="77777777" w:rsidTr="00166F60">
        <w:tc>
          <w:tcPr>
            <w:tcW w:w="284" w:type="pct"/>
            <w:vMerge w:val="restart"/>
            <w:shd w:val="clear" w:color="auto" w:fill="BFBFBF" w:themeFill="background1" w:themeFillShade="BF"/>
          </w:tcPr>
          <w:p w14:paraId="425B21E1" w14:textId="77777777" w:rsidR="003D4F82" w:rsidRPr="00166F60" w:rsidRDefault="003D4F82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66" w:type="pct"/>
            <w:shd w:val="clear" w:color="auto" w:fill="auto"/>
            <w:vAlign w:val="center"/>
          </w:tcPr>
          <w:p w14:paraId="3D2F9CBD" w14:textId="77777777" w:rsidR="003D4F82" w:rsidRPr="00166F60" w:rsidRDefault="003D4F82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аналитика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669CDCFE" w14:textId="12BFA15D" w:rsidR="003D4F82" w:rsidRPr="00166F60" w:rsidRDefault="00A256CB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</w:tr>
      <w:tr w:rsidR="00166F60" w:rsidRPr="00166F60" w14:paraId="10828AB6" w14:textId="77777777" w:rsidTr="00166F60">
        <w:tc>
          <w:tcPr>
            <w:tcW w:w="284" w:type="pct"/>
            <w:vMerge/>
            <w:shd w:val="clear" w:color="auto" w:fill="BFBFBF" w:themeFill="background1" w:themeFillShade="BF"/>
          </w:tcPr>
          <w:p w14:paraId="12D1DAD1" w14:textId="77777777" w:rsidR="00166F60" w:rsidRPr="00166F60" w:rsidRDefault="00166F60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vAlign w:val="center"/>
          </w:tcPr>
          <w:p w14:paraId="17C44245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F2F0956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социально-экономической ситуации в различных регионах Российской Федерации; </w:t>
            </w:r>
          </w:p>
          <w:p w14:paraId="2A8611E5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анализ кредитного портфеля, то есть анализ банковских активов, которые переданы физическим или юридическим лицам в кредит;</w:t>
            </w:r>
          </w:p>
          <w:p w14:paraId="74693603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анализ структуры депозитного портфеля;</w:t>
            </w:r>
          </w:p>
          <w:p w14:paraId="0349F74C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методы и способы расчетно-кассового обслуживания;</w:t>
            </w:r>
          </w:p>
          <w:p w14:paraId="47A0C8CB" w14:textId="5AF9A0BB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 методы получения, анализа и обработки информации.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7E43F7B3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F60" w:rsidRPr="00166F60" w14:paraId="6DFB73CC" w14:textId="77777777" w:rsidTr="00166F60">
        <w:tc>
          <w:tcPr>
            <w:tcW w:w="284" w:type="pct"/>
            <w:vMerge/>
            <w:shd w:val="clear" w:color="auto" w:fill="BFBFBF" w:themeFill="background1" w:themeFillShade="BF"/>
          </w:tcPr>
          <w:p w14:paraId="7B10252E" w14:textId="77777777" w:rsidR="00166F60" w:rsidRPr="00166F60" w:rsidRDefault="00166F60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vAlign w:val="center"/>
          </w:tcPr>
          <w:p w14:paraId="356F5756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B766160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анализировать корректность и достоверность полученных документов от клиентов;</w:t>
            </w:r>
          </w:p>
          <w:p w14:paraId="57825F43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финансово-экономическое положение заемщиков;</w:t>
            </w:r>
          </w:p>
          <w:p w14:paraId="3F8D80CE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определять платежеспособность заемщиков;</w:t>
            </w:r>
          </w:p>
          <w:p w14:paraId="32933528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формировать юридическое дело по каждому счету клиента;</w:t>
            </w:r>
          </w:p>
          <w:p w14:paraId="546AFC99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кредитное досье клиента; </w:t>
            </w:r>
          </w:p>
          <w:p w14:paraId="276954D9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вести мониторинг финансового положения клиента;</w:t>
            </w:r>
          </w:p>
          <w:p w14:paraId="0EE8C574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определять порядок оплаты расчетных документов;</w:t>
            </w:r>
          </w:p>
          <w:p w14:paraId="12EBA499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14:paraId="7516308F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направлять запросы в бюро кредитных историй в соответствии с требованиями действующего регламента;</w:t>
            </w:r>
          </w:p>
          <w:p w14:paraId="6F51D9E1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составлять заключение о возможности предоставления кредита;</w:t>
            </w:r>
          </w:p>
          <w:p w14:paraId="3220775D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оценивать качество обеспечения кредита и кредитные риски;</w:t>
            </w:r>
          </w:p>
          <w:p w14:paraId="228FF08C" w14:textId="62498454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    осуществлять контроль налично-денежного оборота.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14:paraId="070BE276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F82" w:rsidRPr="00166F60" w14:paraId="1D0C527B" w14:textId="77777777" w:rsidTr="00166F60">
        <w:tc>
          <w:tcPr>
            <w:tcW w:w="284" w:type="pct"/>
            <w:vMerge w:val="restart"/>
            <w:shd w:val="clear" w:color="auto" w:fill="BFBFBF" w:themeFill="background1" w:themeFillShade="BF"/>
          </w:tcPr>
          <w:p w14:paraId="62965C62" w14:textId="77777777" w:rsidR="003D4F82" w:rsidRPr="00166F60" w:rsidRDefault="003D4F82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6" w:type="pct"/>
            <w:shd w:val="clear" w:color="auto" w:fill="auto"/>
            <w:vAlign w:val="center"/>
          </w:tcPr>
          <w:p w14:paraId="3D62FE6F" w14:textId="77777777" w:rsidR="003D4F82" w:rsidRPr="00166F60" w:rsidRDefault="003D4F82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Банковская документация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9C7B235" w14:textId="3959BB3D" w:rsidR="003D4F82" w:rsidRPr="00166F60" w:rsidRDefault="00A256CB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66F60" w:rsidRPr="00166F60" w14:paraId="23C434E8" w14:textId="77777777" w:rsidTr="00166F60">
        <w:tc>
          <w:tcPr>
            <w:tcW w:w="284" w:type="pct"/>
            <w:vMerge/>
            <w:shd w:val="clear" w:color="auto" w:fill="BFBFBF" w:themeFill="background1" w:themeFillShade="BF"/>
          </w:tcPr>
          <w:p w14:paraId="7CC4E723" w14:textId="77777777" w:rsidR="00166F60" w:rsidRPr="00166F60" w:rsidRDefault="00166F60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vAlign w:val="center"/>
          </w:tcPr>
          <w:p w14:paraId="28E41B3C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1F58777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сновы банковского делопроизводства;</w:t>
            </w:r>
          </w:p>
          <w:p w14:paraId="535AC2AF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типовые формы банковской документации;</w:t>
            </w:r>
          </w:p>
          <w:p w14:paraId="5BEBA756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внутрибанковскую документацию;</w:t>
            </w:r>
          </w:p>
          <w:p w14:paraId="7A7F806E" w14:textId="67319DFD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 систему оформления, использования и движения расчетных документов и денежных средств.</w:t>
            </w: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086EF546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F60" w:rsidRPr="00166F60" w14:paraId="4BE86910" w14:textId="77777777" w:rsidTr="00E9182D">
        <w:trPr>
          <w:trHeight w:val="934"/>
        </w:trPr>
        <w:tc>
          <w:tcPr>
            <w:tcW w:w="284" w:type="pct"/>
            <w:vMerge/>
            <w:shd w:val="clear" w:color="auto" w:fill="BFBFBF" w:themeFill="background1" w:themeFillShade="BF"/>
          </w:tcPr>
          <w:p w14:paraId="392E5DC8" w14:textId="77777777" w:rsidR="00166F60" w:rsidRPr="00166F60" w:rsidRDefault="00166F60" w:rsidP="00166F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vAlign w:val="center"/>
          </w:tcPr>
          <w:p w14:paraId="42D08FA8" w14:textId="77777777" w:rsidR="00166F60" w:rsidRPr="00166F60" w:rsidRDefault="00166F60" w:rsidP="00166F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623FD3E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открытие/закрытие счетов, оформляя необходимые документы; </w:t>
            </w:r>
          </w:p>
          <w:p w14:paraId="3DB70BDD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составлять график платежей по кредиту;</w:t>
            </w:r>
          </w:p>
          <w:p w14:paraId="324EFD0B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график по вкладу; </w:t>
            </w:r>
          </w:p>
          <w:p w14:paraId="1B4E6E15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комплект документов по кредитам; </w:t>
            </w:r>
          </w:p>
          <w:p w14:paraId="2AE1E25D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комплект документов по вкладам; </w:t>
            </w:r>
          </w:p>
          <w:p w14:paraId="36B5CF3F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оформлять кассовые документы;</w:t>
            </w:r>
          </w:p>
          <w:p w14:paraId="77DC65F8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документы;</w:t>
            </w:r>
          </w:p>
          <w:p w14:paraId="5D40E33D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организовывать документооборот; </w:t>
            </w:r>
          </w:p>
          <w:p w14:paraId="1D5A76A6" w14:textId="77777777" w:rsidR="00166F60" w:rsidRPr="00166F60" w:rsidRDefault="00166F60" w:rsidP="00166F60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отражать операции на бухгалтерских счетах коммерческого банка;</w:t>
            </w:r>
          </w:p>
          <w:p w14:paraId="32868FD4" w14:textId="5D9217CF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F60">
              <w:rPr>
                <w:rFonts w:ascii="Times New Roman" w:hAnsi="Times New Roman" w:cs="Times New Roman"/>
                <w:sz w:val="24"/>
                <w:szCs w:val="24"/>
              </w:rPr>
              <w:t>- вести картотеки неоплаченных платежных документов.</w:t>
            </w:r>
          </w:p>
        </w:tc>
        <w:tc>
          <w:tcPr>
            <w:tcW w:w="649" w:type="pct"/>
            <w:vMerge/>
            <w:shd w:val="clear" w:color="auto" w:fill="auto"/>
            <w:vAlign w:val="center"/>
          </w:tcPr>
          <w:p w14:paraId="6F488377" w14:textId="77777777" w:rsidR="00166F60" w:rsidRPr="00166F60" w:rsidRDefault="00166F60" w:rsidP="00166F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EE85B3" w14:textId="77777777" w:rsidR="000244DA" w:rsidRPr="00166F60" w:rsidRDefault="000244DA" w:rsidP="00166F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0378B2B2" w:rsidR="007274B8" w:rsidRPr="00166F60" w:rsidRDefault="00F8340A" w:rsidP="00166F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166F60">
        <w:rPr>
          <w:rFonts w:ascii="Times New Roman" w:hAnsi="Times New Roman"/>
          <w:szCs w:val="28"/>
        </w:rPr>
        <w:t>1</w:t>
      </w:r>
      <w:r w:rsidR="00D17132" w:rsidRPr="00166F60">
        <w:rPr>
          <w:rFonts w:ascii="Times New Roman" w:hAnsi="Times New Roman"/>
          <w:szCs w:val="28"/>
        </w:rPr>
        <w:t>.</w:t>
      </w:r>
      <w:r w:rsidRPr="00166F60">
        <w:rPr>
          <w:rFonts w:ascii="Times New Roman" w:hAnsi="Times New Roman"/>
          <w:szCs w:val="28"/>
        </w:rPr>
        <w:t>3</w:t>
      </w:r>
      <w:r w:rsidR="00166F60" w:rsidRPr="00166F60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7DB20F9" w:rsidR="00DE39D8" w:rsidRPr="00166F60" w:rsidRDefault="00AE6AB7" w:rsidP="00166F6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66F6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166F60">
        <w:rPr>
          <w:rFonts w:ascii="Times New Roman" w:hAnsi="Times New Roman"/>
          <w:sz w:val="28"/>
          <w:szCs w:val="28"/>
          <w:lang w:val="ru-RU"/>
        </w:rPr>
        <w:t> </w:t>
      </w:r>
      <w:r w:rsidRPr="00166F60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166F6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66F60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166F60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486C16F4" w:rsidR="00C56A9B" w:rsidRPr="00166F60" w:rsidRDefault="00640E46" w:rsidP="00166F6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66F60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166F60" w:rsidRDefault="007274B8" w:rsidP="00166F60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66F6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66F6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66F6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66F6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66F6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66F6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24" w:type="pct"/>
        <w:jc w:val="center"/>
        <w:tblLook w:val="04A0" w:firstRow="1" w:lastRow="0" w:firstColumn="1" w:lastColumn="0" w:noHBand="0" w:noVBand="1"/>
      </w:tblPr>
      <w:tblGrid>
        <w:gridCol w:w="2099"/>
        <w:gridCol w:w="333"/>
        <w:gridCol w:w="1624"/>
        <w:gridCol w:w="1742"/>
        <w:gridCol w:w="1611"/>
        <w:gridCol w:w="2099"/>
      </w:tblGrid>
      <w:tr w:rsidR="00166F60" w:rsidRPr="00166F60" w14:paraId="0A2AADAC" w14:textId="77777777" w:rsidTr="00166F60">
        <w:trPr>
          <w:trHeight w:val="1092"/>
          <w:jc w:val="center"/>
        </w:trPr>
        <w:tc>
          <w:tcPr>
            <w:tcW w:w="3896" w:type="pct"/>
            <w:gridSpan w:val="5"/>
            <w:shd w:val="clear" w:color="auto" w:fill="92D050"/>
            <w:vAlign w:val="center"/>
          </w:tcPr>
          <w:p w14:paraId="1FBCAF52" w14:textId="730933C1" w:rsidR="003D4F82" w:rsidRPr="00166F60" w:rsidRDefault="003D4F82" w:rsidP="00C17B01">
            <w:pPr>
              <w:jc w:val="center"/>
              <w:rPr>
                <w:b/>
              </w:rPr>
            </w:pPr>
            <w:r w:rsidRPr="00166F60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04" w:type="pct"/>
            <w:shd w:val="clear" w:color="auto" w:fill="92D050"/>
            <w:vAlign w:val="center"/>
          </w:tcPr>
          <w:p w14:paraId="322DA02D" w14:textId="77777777" w:rsidR="00166F60" w:rsidRPr="00166F60" w:rsidRDefault="003D4F82" w:rsidP="00C17B01">
            <w:pPr>
              <w:jc w:val="center"/>
              <w:rPr>
                <w:b/>
                <w:sz w:val="22"/>
                <w:szCs w:val="22"/>
              </w:rPr>
            </w:pPr>
            <w:r w:rsidRPr="00166F60">
              <w:rPr>
                <w:b/>
                <w:sz w:val="22"/>
                <w:szCs w:val="22"/>
              </w:rPr>
              <w:t xml:space="preserve">Итого баллов </w:t>
            </w:r>
          </w:p>
          <w:p w14:paraId="2AF4BE06" w14:textId="259A7956" w:rsidR="003D4F82" w:rsidRPr="00166F60" w:rsidRDefault="003D4F82" w:rsidP="00C17B01">
            <w:pPr>
              <w:jc w:val="center"/>
              <w:rPr>
                <w:b/>
                <w:sz w:val="22"/>
                <w:szCs w:val="22"/>
              </w:rPr>
            </w:pPr>
            <w:r w:rsidRPr="00166F60">
              <w:rPr>
                <w:b/>
                <w:sz w:val="22"/>
                <w:szCs w:val="22"/>
              </w:rPr>
              <w:t>за раздел ТРЕБОВАНИЙ КОМПЕТЕНЦИИ</w:t>
            </w:r>
          </w:p>
        </w:tc>
      </w:tr>
      <w:tr w:rsidR="00166F60" w:rsidRPr="00166F60" w14:paraId="6EDBED15" w14:textId="77777777" w:rsidTr="003D4F82">
        <w:trPr>
          <w:trHeight w:val="50"/>
          <w:jc w:val="center"/>
        </w:trPr>
        <w:tc>
          <w:tcPr>
            <w:tcW w:w="1104" w:type="pct"/>
            <w:vMerge w:val="restart"/>
            <w:shd w:val="clear" w:color="auto" w:fill="92D050"/>
            <w:vAlign w:val="center"/>
          </w:tcPr>
          <w:p w14:paraId="22554985" w14:textId="0EDAD76E" w:rsidR="003D4F82" w:rsidRPr="00166F60" w:rsidRDefault="003D4F82" w:rsidP="003242E1">
            <w:pPr>
              <w:jc w:val="center"/>
              <w:rPr>
                <w:b/>
                <w:sz w:val="22"/>
                <w:szCs w:val="22"/>
              </w:rPr>
            </w:pPr>
            <w:r w:rsidRPr="00166F60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3CF24956" w14:textId="77777777" w:rsidR="003D4F82" w:rsidRPr="00166F60" w:rsidRDefault="003D4F8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00B050"/>
            <w:vAlign w:val="center"/>
          </w:tcPr>
          <w:p w14:paraId="35F42FCD" w14:textId="77777777" w:rsidR="003D4F82" w:rsidRPr="00166F60" w:rsidRDefault="003D4F82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66F60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916" w:type="pct"/>
            <w:shd w:val="clear" w:color="auto" w:fill="00B050"/>
            <w:vAlign w:val="center"/>
          </w:tcPr>
          <w:p w14:paraId="73DA90DA" w14:textId="11265A4A" w:rsidR="003D4F82" w:rsidRPr="00166F60" w:rsidRDefault="003D4F82" w:rsidP="00C17B01">
            <w:pPr>
              <w:jc w:val="center"/>
              <w:rPr>
                <w:b/>
                <w:sz w:val="22"/>
                <w:szCs w:val="22"/>
              </w:rPr>
            </w:pPr>
            <w:r w:rsidRPr="00166F60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47" w:type="pct"/>
            <w:shd w:val="clear" w:color="auto" w:fill="00B050"/>
            <w:vAlign w:val="center"/>
          </w:tcPr>
          <w:p w14:paraId="672A4EAD" w14:textId="67EAE7D0" w:rsidR="003D4F82" w:rsidRPr="00166F60" w:rsidRDefault="00D338BE" w:rsidP="00166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104" w:type="pct"/>
            <w:shd w:val="clear" w:color="auto" w:fill="00B050"/>
            <w:vAlign w:val="center"/>
          </w:tcPr>
          <w:p w14:paraId="089247DF" w14:textId="77777777" w:rsidR="003D4F82" w:rsidRPr="00166F60" w:rsidRDefault="003D4F82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66F60" w:rsidRPr="00166F60" w14:paraId="61D77BE1" w14:textId="77777777" w:rsidTr="00AE0D7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06232BE1" w14:textId="77777777" w:rsidR="003D4F82" w:rsidRPr="00166F60" w:rsidRDefault="003D4F82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E5703EC" w14:textId="77777777" w:rsidR="003D4F82" w:rsidRPr="00166F60" w:rsidRDefault="003D4F82" w:rsidP="003D4F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66F60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54" w:type="pct"/>
            <w:vAlign w:val="center"/>
          </w:tcPr>
          <w:p w14:paraId="3B3E3C84" w14:textId="2445F368" w:rsidR="003D4F82" w:rsidRPr="00166F60" w:rsidRDefault="003D4F82" w:rsidP="003D4F82">
            <w:pPr>
              <w:jc w:val="center"/>
              <w:rPr>
                <w:sz w:val="22"/>
                <w:szCs w:val="22"/>
              </w:rPr>
            </w:pPr>
            <w:r w:rsidRPr="00166F60">
              <w:rPr>
                <w:sz w:val="24"/>
                <w:szCs w:val="24"/>
              </w:rPr>
              <w:t>2,5</w:t>
            </w:r>
          </w:p>
        </w:tc>
        <w:tc>
          <w:tcPr>
            <w:tcW w:w="916" w:type="pct"/>
            <w:vAlign w:val="center"/>
          </w:tcPr>
          <w:p w14:paraId="5DA46E3D" w14:textId="2A97AB75" w:rsidR="003D4F82" w:rsidRPr="00166F60" w:rsidRDefault="003D4F82" w:rsidP="003D4F82">
            <w:pPr>
              <w:jc w:val="center"/>
              <w:rPr>
                <w:sz w:val="22"/>
                <w:szCs w:val="22"/>
              </w:rPr>
            </w:pPr>
            <w:r w:rsidRPr="00166F60">
              <w:rPr>
                <w:sz w:val="24"/>
                <w:szCs w:val="24"/>
              </w:rPr>
              <w:t>3,5</w:t>
            </w:r>
          </w:p>
        </w:tc>
        <w:tc>
          <w:tcPr>
            <w:tcW w:w="847" w:type="pct"/>
            <w:vAlign w:val="center"/>
          </w:tcPr>
          <w:p w14:paraId="3644D9C8" w14:textId="45808C58" w:rsidR="003D4F82" w:rsidRPr="00166F60" w:rsidRDefault="003D4F82" w:rsidP="003D4F82">
            <w:pPr>
              <w:jc w:val="center"/>
              <w:rPr>
                <w:sz w:val="22"/>
                <w:szCs w:val="22"/>
              </w:rPr>
            </w:pPr>
            <w:r w:rsidRPr="00166F60">
              <w:rPr>
                <w:sz w:val="24"/>
                <w:szCs w:val="24"/>
              </w:rPr>
              <w:t>2</w:t>
            </w:r>
            <w:r w:rsidR="00707760">
              <w:rPr>
                <w:sz w:val="24"/>
                <w:szCs w:val="24"/>
              </w:rPr>
              <w:t>,5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14:paraId="712CE198" w14:textId="013F3C61" w:rsidR="003D4F82" w:rsidRPr="00166F60" w:rsidRDefault="003D4F82" w:rsidP="003D4F82">
            <w:pPr>
              <w:jc w:val="center"/>
              <w:rPr>
                <w:sz w:val="22"/>
                <w:szCs w:val="22"/>
              </w:rPr>
            </w:pPr>
            <w:r w:rsidRPr="00166F60">
              <w:rPr>
                <w:b/>
                <w:bCs/>
                <w:sz w:val="24"/>
                <w:szCs w:val="24"/>
              </w:rPr>
              <w:t>8</w:t>
            </w:r>
            <w:r w:rsidR="00707760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166F60" w:rsidRPr="00166F60" w14:paraId="4EB85C79" w14:textId="77777777" w:rsidTr="00AE0D7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22B843BA" w14:textId="77777777" w:rsidR="003D4F82" w:rsidRPr="00166F60" w:rsidRDefault="003D4F82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20AFA02" w14:textId="77777777" w:rsidR="003D4F82" w:rsidRPr="00166F60" w:rsidRDefault="003D4F82" w:rsidP="003D4F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66F60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54" w:type="pct"/>
            <w:vAlign w:val="center"/>
          </w:tcPr>
          <w:p w14:paraId="4A25E47C" w14:textId="3B4CE4F0" w:rsidR="003D4F82" w:rsidRPr="00166F60" w:rsidRDefault="003178DF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13</w:t>
            </w:r>
            <w:r w:rsidR="00A256CB">
              <w:rPr>
                <w:sz w:val="24"/>
                <w:szCs w:val="24"/>
              </w:rPr>
              <w:t>,5</w:t>
            </w:r>
          </w:p>
        </w:tc>
        <w:tc>
          <w:tcPr>
            <w:tcW w:w="916" w:type="pct"/>
            <w:vAlign w:val="center"/>
          </w:tcPr>
          <w:p w14:paraId="2ABB4702" w14:textId="2B7FC3D6" w:rsidR="003D4F82" w:rsidRPr="00166F60" w:rsidRDefault="00A256CB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7" w:type="pct"/>
            <w:vAlign w:val="center"/>
          </w:tcPr>
          <w:p w14:paraId="72951D2F" w14:textId="19F17E95" w:rsidR="003D4F82" w:rsidRPr="00166F60" w:rsidRDefault="00A256CB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14:paraId="6E5BB194" w14:textId="05115138" w:rsidR="003D4F82" w:rsidRPr="00166F60" w:rsidRDefault="00A256CB" w:rsidP="003D4F8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44,50</w:t>
            </w:r>
          </w:p>
        </w:tc>
      </w:tr>
      <w:tr w:rsidR="00166F60" w:rsidRPr="00166F60" w14:paraId="270858FE" w14:textId="77777777" w:rsidTr="00AE0D7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11C06268" w14:textId="77777777" w:rsidR="003D4F82" w:rsidRPr="00166F60" w:rsidRDefault="003D4F82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C8BD818" w14:textId="77777777" w:rsidR="003D4F82" w:rsidRPr="00166F60" w:rsidRDefault="003D4F82" w:rsidP="003D4F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66F60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54" w:type="pct"/>
            <w:vAlign w:val="center"/>
          </w:tcPr>
          <w:p w14:paraId="3BEDDFEB" w14:textId="117CB905" w:rsidR="003D4F82" w:rsidRPr="00166F60" w:rsidRDefault="003D4F82" w:rsidP="003D4F82">
            <w:pPr>
              <w:jc w:val="center"/>
              <w:rPr>
                <w:sz w:val="22"/>
                <w:szCs w:val="22"/>
              </w:rPr>
            </w:pPr>
            <w:r w:rsidRPr="00166F60">
              <w:rPr>
                <w:sz w:val="24"/>
                <w:szCs w:val="24"/>
              </w:rPr>
              <w:t>3,5</w:t>
            </w:r>
          </w:p>
        </w:tc>
        <w:tc>
          <w:tcPr>
            <w:tcW w:w="916" w:type="pct"/>
            <w:vAlign w:val="center"/>
          </w:tcPr>
          <w:p w14:paraId="2FB413FD" w14:textId="78D2A0A5" w:rsidR="003D4F82" w:rsidRPr="00166F60" w:rsidRDefault="003D4F82" w:rsidP="003D4F82">
            <w:pPr>
              <w:jc w:val="center"/>
              <w:rPr>
                <w:sz w:val="22"/>
                <w:szCs w:val="22"/>
              </w:rPr>
            </w:pPr>
            <w:r w:rsidRPr="00166F60">
              <w:rPr>
                <w:sz w:val="24"/>
                <w:szCs w:val="24"/>
              </w:rPr>
              <w:t>2,5</w:t>
            </w:r>
          </w:p>
        </w:tc>
        <w:tc>
          <w:tcPr>
            <w:tcW w:w="847" w:type="pct"/>
            <w:vAlign w:val="center"/>
          </w:tcPr>
          <w:p w14:paraId="1B18E00D" w14:textId="0E7F70A0" w:rsidR="003D4F82" w:rsidRPr="00166F60" w:rsidRDefault="003D4F82" w:rsidP="003D4F82">
            <w:pPr>
              <w:jc w:val="center"/>
              <w:rPr>
                <w:sz w:val="22"/>
                <w:szCs w:val="22"/>
              </w:rPr>
            </w:pPr>
            <w:r w:rsidRPr="00166F60">
              <w:rPr>
                <w:sz w:val="24"/>
                <w:szCs w:val="24"/>
              </w:rPr>
              <w:t>3</w:t>
            </w:r>
            <w:r w:rsidR="008C0458" w:rsidRPr="00166F60">
              <w:rPr>
                <w:sz w:val="24"/>
                <w:szCs w:val="24"/>
              </w:rPr>
              <w:t>,5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14:paraId="35C37911" w14:textId="7FDD1088" w:rsidR="003D4F82" w:rsidRPr="00166F60" w:rsidRDefault="003D4F82" w:rsidP="003D4F82">
            <w:pPr>
              <w:jc w:val="center"/>
              <w:rPr>
                <w:sz w:val="22"/>
                <w:szCs w:val="22"/>
              </w:rPr>
            </w:pPr>
            <w:r w:rsidRPr="00166F60">
              <w:rPr>
                <w:b/>
                <w:bCs/>
                <w:sz w:val="24"/>
                <w:szCs w:val="24"/>
              </w:rPr>
              <w:t>9</w:t>
            </w:r>
            <w:r w:rsidR="00117A35" w:rsidRPr="00166F60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166F60" w:rsidRPr="00166F60" w14:paraId="729DCFA9" w14:textId="77777777" w:rsidTr="00AE0D7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064ADD9F" w14:textId="77777777" w:rsidR="003D4F82" w:rsidRPr="00166F60" w:rsidRDefault="003D4F82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124CBF9" w14:textId="77777777" w:rsidR="003D4F82" w:rsidRPr="00166F60" w:rsidRDefault="003D4F82" w:rsidP="003D4F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66F60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54" w:type="pct"/>
            <w:vAlign w:val="center"/>
          </w:tcPr>
          <w:p w14:paraId="7BB1AD33" w14:textId="5060DDEA" w:rsidR="003D4F82" w:rsidRPr="00166F60" w:rsidRDefault="003D4F82" w:rsidP="003D4F82">
            <w:pPr>
              <w:jc w:val="center"/>
              <w:rPr>
                <w:sz w:val="22"/>
                <w:szCs w:val="22"/>
              </w:rPr>
            </w:pPr>
            <w:r w:rsidRPr="00166F60">
              <w:rPr>
                <w:sz w:val="24"/>
                <w:szCs w:val="24"/>
              </w:rPr>
              <w:t>4</w:t>
            </w:r>
          </w:p>
        </w:tc>
        <w:tc>
          <w:tcPr>
            <w:tcW w:w="916" w:type="pct"/>
            <w:vAlign w:val="center"/>
          </w:tcPr>
          <w:p w14:paraId="6A4E8200" w14:textId="2A3CB649" w:rsidR="003D4F82" w:rsidRPr="00166F60" w:rsidRDefault="00A256CB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47" w:type="pct"/>
            <w:vAlign w:val="center"/>
          </w:tcPr>
          <w:p w14:paraId="336A56F9" w14:textId="3C239860" w:rsidR="003D4F82" w:rsidRPr="00166F60" w:rsidRDefault="00A256CB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14:paraId="5CA64B26" w14:textId="55589521" w:rsidR="003D4F82" w:rsidRPr="00166F60" w:rsidRDefault="00A256CB" w:rsidP="003D4F8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14,50</w:t>
            </w:r>
          </w:p>
        </w:tc>
      </w:tr>
      <w:tr w:rsidR="00166F60" w:rsidRPr="00166F60" w14:paraId="22BB9E7A" w14:textId="77777777" w:rsidTr="00AE0D7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2B3484F3" w14:textId="77777777" w:rsidR="003D4F82" w:rsidRPr="00166F60" w:rsidRDefault="003D4F82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8DD302D" w14:textId="77777777" w:rsidR="003D4F82" w:rsidRPr="00166F60" w:rsidRDefault="003D4F82" w:rsidP="003D4F8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66F60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54" w:type="pct"/>
            <w:vAlign w:val="center"/>
          </w:tcPr>
          <w:p w14:paraId="788DF647" w14:textId="27A6E8D6" w:rsidR="003D4F82" w:rsidRPr="00166F60" w:rsidRDefault="000963F0" w:rsidP="003D4F82">
            <w:pPr>
              <w:jc w:val="center"/>
              <w:rPr>
                <w:sz w:val="22"/>
                <w:szCs w:val="22"/>
              </w:rPr>
            </w:pPr>
            <w:r w:rsidRPr="00166F60">
              <w:rPr>
                <w:sz w:val="24"/>
                <w:szCs w:val="24"/>
              </w:rPr>
              <w:t>8</w:t>
            </w:r>
            <w:r w:rsidR="00A256CB">
              <w:rPr>
                <w:sz w:val="24"/>
                <w:szCs w:val="24"/>
              </w:rPr>
              <w:t>,5</w:t>
            </w:r>
          </w:p>
        </w:tc>
        <w:tc>
          <w:tcPr>
            <w:tcW w:w="916" w:type="pct"/>
            <w:vAlign w:val="center"/>
          </w:tcPr>
          <w:p w14:paraId="792DEA04" w14:textId="14FDBDBC" w:rsidR="003D4F82" w:rsidRPr="00166F60" w:rsidRDefault="00A256CB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7,50</w:t>
            </w:r>
          </w:p>
        </w:tc>
        <w:tc>
          <w:tcPr>
            <w:tcW w:w="847" w:type="pct"/>
            <w:vAlign w:val="center"/>
          </w:tcPr>
          <w:p w14:paraId="0DB48689" w14:textId="5D9D9D11" w:rsidR="003D4F82" w:rsidRPr="00166F60" w:rsidRDefault="00A256CB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14:paraId="4A57BB5C" w14:textId="38DD44DA" w:rsidR="003D4F82" w:rsidRPr="00166F60" w:rsidRDefault="00A256CB" w:rsidP="003D4F8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166F60" w:rsidRPr="00166F60" w14:paraId="7A651F98" w14:textId="77777777" w:rsidTr="00431B9A">
        <w:trPr>
          <w:trHeight w:val="50"/>
          <w:jc w:val="center"/>
        </w:trPr>
        <w:tc>
          <w:tcPr>
            <w:tcW w:w="1279" w:type="pct"/>
            <w:gridSpan w:val="2"/>
            <w:shd w:val="clear" w:color="auto" w:fill="00B050"/>
            <w:vAlign w:val="center"/>
          </w:tcPr>
          <w:p w14:paraId="031BF5E1" w14:textId="36D478B4" w:rsidR="003D4F82" w:rsidRPr="00166F60" w:rsidRDefault="003D4F82" w:rsidP="003D4F82">
            <w:pPr>
              <w:jc w:val="center"/>
              <w:rPr>
                <w:sz w:val="22"/>
                <w:szCs w:val="22"/>
              </w:rPr>
            </w:pPr>
            <w:r w:rsidRPr="00166F60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54" w:type="pct"/>
            <w:shd w:val="clear" w:color="auto" w:fill="F2F2F2" w:themeFill="background1" w:themeFillShade="F2"/>
            <w:vAlign w:val="center"/>
          </w:tcPr>
          <w:p w14:paraId="62B470B5" w14:textId="76D15322" w:rsidR="003D4F82" w:rsidRPr="00166F60" w:rsidRDefault="00A256CB" w:rsidP="008C04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16" w:type="pct"/>
            <w:shd w:val="clear" w:color="auto" w:fill="E7E6E6" w:themeFill="background2"/>
            <w:vAlign w:val="center"/>
          </w:tcPr>
          <w:p w14:paraId="3F54C3E5" w14:textId="62E01128" w:rsidR="003D4F82" w:rsidRPr="00166F60" w:rsidRDefault="00A256CB" w:rsidP="003D4F8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47" w:type="pct"/>
            <w:shd w:val="clear" w:color="auto" w:fill="E7E6E6" w:themeFill="background2"/>
            <w:vAlign w:val="center"/>
          </w:tcPr>
          <w:p w14:paraId="63AE3F2C" w14:textId="7A867ECB" w:rsidR="003D4F82" w:rsidRPr="00166F60" w:rsidRDefault="00A256CB" w:rsidP="003D4F8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14:paraId="5498864D" w14:textId="03AB7B38" w:rsidR="003D4F82" w:rsidRPr="00166F60" w:rsidRDefault="003D4F82" w:rsidP="003D4F82">
            <w:pPr>
              <w:jc w:val="center"/>
              <w:rPr>
                <w:b/>
                <w:sz w:val="22"/>
                <w:szCs w:val="22"/>
              </w:rPr>
            </w:pPr>
            <w:r w:rsidRPr="00166F60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Pr="00166F60" w:rsidRDefault="008E5424" w:rsidP="00166F60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274BACA2" w14:textId="2DAFBAFC" w:rsidR="00DE39D8" w:rsidRPr="00166F60" w:rsidRDefault="00F8340A" w:rsidP="00166F6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166F60">
        <w:rPr>
          <w:rFonts w:ascii="Times New Roman" w:hAnsi="Times New Roman"/>
          <w:szCs w:val="28"/>
        </w:rPr>
        <w:t>1</w:t>
      </w:r>
      <w:r w:rsidR="00643A8A" w:rsidRPr="00166F60">
        <w:rPr>
          <w:rFonts w:ascii="Times New Roman" w:hAnsi="Times New Roman"/>
          <w:szCs w:val="28"/>
        </w:rPr>
        <w:t>.</w:t>
      </w:r>
      <w:r w:rsidRPr="00166F60">
        <w:rPr>
          <w:rFonts w:ascii="Times New Roman" w:hAnsi="Times New Roman"/>
          <w:szCs w:val="28"/>
        </w:rPr>
        <w:t>4</w:t>
      </w:r>
      <w:r w:rsidR="00AA2B8A" w:rsidRPr="00166F60">
        <w:rPr>
          <w:rFonts w:ascii="Times New Roman" w:hAnsi="Times New Roman"/>
          <w:szCs w:val="28"/>
        </w:rPr>
        <w:t xml:space="preserve">. </w:t>
      </w:r>
      <w:r w:rsidR="00166F60" w:rsidRPr="00166F60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6A6FA4AB" w14:textId="684CE73B" w:rsidR="00473C4A" w:rsidRPr="00166F60" w:rsidRDefault="00DE39D8" w:rsidP="00166F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F6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66F60">
        <w:rPr>
          <w:rFonts w:ascii="Times New Roman" w:hAnsi="Times New Roman" w:cs="Times New Roman"/>
          <w:sz w:val="28"/>
          <w:szCs w:val="28"/>
        </w:rPr>
        <w:t>К</w:t>
      </w:r>
      <w:r w:rsidRPr="00166F6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66F60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166F60" w:rsidRPr="00166F60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94FB359" w:rsidR="00640E46" w:rsidRPr="00166F60" w:rsidRDefault="00640E46" w:rsidP="00166F6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6F60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166F60" w:rsidRDefault="00640E46" w:rsidP="00166F6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F6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2247"/>
        <w:gridCol w:w="7052"/>
      </w:tblGrid>
      <w:tr w:rsidR="008761F3" w:rsidRPr="009D04EE" w14:paraId="59DCEA44" w14:textId="77777777" w:rsidTr="00166F60">
        <w:trPr>
          <w:tblHeader/>
        </w:trPr>
        <w:tc>
          <w:tcPr>
            <w:tcW w:w="1422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78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3D4F82" w:rsidRPr="009D04EE" w14:paraId="6A6AEFD2" w14:textId="77777777" w:rsidTr="00166F60">
        <w:tc>
          <w:tcPr>
            <w:tcW w:w="282" w:type="pct"/>
            <w:shd w:val="clear" w:color="auto" w:fill="00B050"/>
          </w:tcPr>
          <w:p w14:paraId="0B141BE8" w14:textId="10E95ECF" w:rsidR="003D4F82" w:rsidRPr="00473C4A" w:rsidRDefault="003D4F82" w:rsidP="003D4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40" w:type="pct"/>
            <w:shd w:val="clear" w:color="auto" w:fill="92D050"/>
            <w:vAlign w:val="center"/>
          </w:tcPr>
          <w:p w14:paraId="1D7F47A9" w14:textId="3D32656B" w:rsidR="003D4F82" w:rsidRPr="004904C5" w:rsidRDefault="003D4F82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платежей и расчетно-кассовое обслуживание клиентов</w:t>
            </w:r>
          </w:p>
        </w:tc>
        <w:tc>
          <w:tcPr>
            <w:tcW w:w="3578" w:type="pct"/>
            <w:shd w:val="clear" w:color="auto" w:fill="auto"/>
            <w:vAlign w:val="center"/>
          </w:tcPr>
          <w:p w14:paraId="360B4BE2" w14:textId="51699788" w:rsidR="003D4F82" w:rsidRPr="009D04EE" w:rsidRDefault="003D4F82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оформления необходимых документов для перевода денежных средств; умение оформления кассовых документов по приему и выдаче денежной наличности в валюте Российской Федерации и иностранной валюте; осуществление правильного алгоритма действий кассовых сотрудников банка; грамотное планирование своей работы;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3D4F82" w:rsidRPr="009D04EE" w14:paraId="1A96BA02" w14:textId="77777777" w:rsidTr="00166F60">
        <w:tc>
          <w:tcPr>
            <w:tcW w:w="282" w:type="pct"/>
            <w:shd w:val="clear" w:color="auto" w:fill="00B050"/>
          </w:tcPr>
          <w:p w14:paraId="237F3983" w14:textId="6CB34203" w:rsidR="003D4F82" w:rsidRPr="00473C4A" w:rsidRDefault="003D4F82" w:rsidP="003D4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40" w:type="pct"/>
            <w:shd w:val="clear" w:color="auto" w:fill="92D050"/>
            <w:vAlign w:val="center"/>
          </w:tcPr>
          <w:p w14:paraId="62CE117B" w14:textId="6E97FD32" w:rsidR="003D4F82" w:rsidRPr="004904C5" w:rsidRDefault="003D4F82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кредитной работы</w:t>
            </w:r>
          </w:p>
        </w:tc>
        <w:tc>
          <w:tcPr>
            <w:tcW w:w="3578" w:type="pct"/>
            <w:shd w:val="clear" w:color="auto" w:fill="auto"/>
            <w:vAlign w:val="center"/>
          </w:tcPr>
          <w:p w14:paraId="03F2F467" w14:textId="57D9487F" w:rsidR="003D4F82" w:rsidRPr="009D04EE" w:rsidRDefault="003D4F82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оформления документов при выдаче кредита; правильная оценка и анализ финансового положения заемщика (юридического лица) и технико-экономическое обоснование </w:t>
            </w:r>
            <w:r>
              <w:rPr>
                <w:sz w:val="24"/>
                <w:szCs w:val="24"/>
              </w:rPr>
              <w:lastRenderedPageBreak/>
              <w:t>кредита; правильный расчет платежеспособности физических лиц; составление верного графика платежей по кредиту и процентам, формирование кредитных дел клиентов;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3D4F82" w:rsidRPr="009D04EE" w14:paraId="21213197" w14:textId="77777777" w:rsidTr="00166F60">
        <w:tc>
          <w:tcPr>
            <w:tcW w:w="282" w:type="pct"/>
            <w:shd w:val="clear" w:color="auto" w:fill="00B050"/>
          </w:tcPr>
          <w:p w14:paraId="7AFABB4B" w14:textId="5B9284D6" w:rsidR="003D4F82" w:rsidRPr="00473C4A" w:rsidRDefault="00D338BE" w:rsidP="003D4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140" w:type="pct"/>
            <w:shd w:val="clear" w:color="auto" w:fill="92D050"/>
            <w:vAlign w:val="center"/>
          </w:tcPr>
          <w:p w14:paraId="7FF01597" w14:textId="5840A7B9" w:rsidR="003D4F82" w:rsidRPr="00D338BE" w:rsidRDefault="00D338BE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38BE">
              <w:rPr>
                <w:rFonts w:eastAsia="Calibri"/>
                <w:sz w:val="24"/>
                <w:szCs w:val="28"/>
              </w:rPr>
              <w:t>Продажа банковских продуктов и услуг</w:t>
            </w:r>
          </w:p>
        </w:tc>
        <w:tc>
          <w:tcPr>
            <w:tcW w:w="3578" w:type="pct"/>
            <w:shd w:val="clear" w:color="auto" w:fill="auto"/>
            <w:vAlign w:val="center"/>
          </w:tcPr>
          <w:p w14:paraId="387950E5" w14:textId="10FDAEFB" w:rsidR="003D4F82" w:rsidRPr="004904C5" w:rsidRDefault="00D338BE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необходимого клиенту банковского продукта (услуги) с учетом индивидуальных особенностей клиента, оформление продажи банковского продукта (услуги);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</w:tbl>
    <w:p w14:paraId="49D462FF" w14:textId="393EDB37" w:rsidR="0037535C" w:rsidRPr="00166F60" w:rsidRDefault="0037535C" w:rsidP="00166F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5F2CB98B" w:rsidR="005A1625" w:rsidRPr="00166F60" w:rsidRDefault="00166F60" w:rsidP="00166F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r w:rsidRPr="00166F60">
        <w:rPr>
          <w:rFonts w:ascii="Times New Roman" w:hAnsi="Times New Roman"/>
          <w:szCs w:val="28"/>
        </w:rPr>
        <w:t>1.5. Конкурсное задание</w:t>
      </w:r>
      <w:bookmarkEnd w:id="9"/>
    </w:p>
    <w:p w14:paraId="3286E4BC" w14:textId="60F6EAA7" w:rsidR="003D4F82" w:rsidRPr="0023041C" w:rsidRDefault="003D4F82" w:rsidP="0016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93788A" w:rsidRPr="0023041C">
        <w:rPr>
          <w:rFonts w:ascii="Times New Roman" w:eastAsia="Times New Roman" w:hAnsi="Times New Roman" w:cs="Times New Roman"/>
          <w:color w:val="000000"/>
          <w:sz w:val="28"/>
          <w:szCs w:val="28"/>
        </w:rPr>
        <w:t>8 часов</w:t>
      </w:r>
    </w:p>
    <w:p w14:paraId="28D66E7E" w14:textId="51D6E668" w:rsidR="003D4F82" w:rsidRPr="0023041C" w:rsidRDefault="003D4F82" w:rsidP="0016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41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2 дня</w:t>
      </w:r>
    </w:p>
    <w:p w14:paraId="4515EBCB" w14:textId="40E9AD69" w:rsidR="009E52E7" w:rsidRPr="0023041C" w:rsidRDefault="009E52E7" w:rsidP="00166F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41C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66F60" w:rsidRPr="0023041C">
        <w:rPr>
          <w:rFonts w:ascii="Times New Roman" w:hAnsi="Times New Roman" w:cs="Times New Roman"/>
          <w:sz w:val="28"/>
          <w:szCs w:val="28"/>
        </w:rPr>
        <w:t>ет</w:t>
      </w:r>
      <w:r w:rsidRPr="0023041C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23041C">
        <w:rPr>
          <w:rFonts w:ascii="Times New Roman" w:hAnsi="Times New Roman" w:cs="Times New Roman"/>
          <w:sz w:val="28"/>
          <w:szCs w:val="28"/>
        </w:rPr>
        <w:t>требований</w:t>
      </w:r>
      <w:r w:rsidRPr="0023041C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7AD9D3C4" w:rsidR="009E52E7" w:rsidRPr="0023041C" w:rsidRDefault="009E52E7" w:rsidP="00166F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41C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06D16">
        <w:rPr>
          <w:rFonts w:ascii="Times New Roman" w:hAnsi="Times New Roman" w:cs="Times New Roman"/>
          <w:sz w:val="28"/>
          <w:szCs w:val="28"/>
        </w:rPr>
        <w:t>конкурсант</w:t>
      </w:r>
      <w:r w:rsidRPr="0023041C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23041C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23041C" w:rsidRDefault="005A1625" w:rsidP="00166F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23041C">
        <w:rPr>
          <w:rFonts w:ascii="Times New Roman" w:hAnsi="Times New Roman"/>
          <w:szCs w:val="28"/>
        </w:rPr>
        <w:t xml:space="preserve">1.5.1. </w:t>
      </w:r>
      <w:r w:rsidR="008C41F7" w:rsidRPr="0023041C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0F5A5C35" w:rsidR="008C41F7" w:rsidRPr="0023041C" w:rsidRDefault="008C41F7" w:rsidP="00166F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D4F82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</w:t>
      </w:r>
      <w:r w:rsidR="00E9182D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часть (инвариант) </w:t>
      </w:r>
      <w:r w:rsidR="003D4F82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3D4F82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 Б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3D4F82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F82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05622D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23041C" w:rsidRDefault="008C41F7" w:rsidP="00166F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098866B7" w:rsidR="008C41F7" w:rsidRPr="0023041C" w:rsidRDefault="008C41F7" w:rsidP="00166F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</w:t>
      </w:r>
      <w:r w:rsidR="00E9182D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D4F82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регионом самостоятельно под запрос работодателя. При этом, </w:t>
      </w:r>
      <w:r w:rsidR="00024F7D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230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23041C" w:rsidRDefault="00730AE0" w:rsidP="00166F6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90"/>
      <w:r w:rsidRPr="0023041C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23041C">
        <w:rPr>
          <w:rFonts w:ascii="Times New Roman" w:hAnsi="Times New Roman"/>
          <w:szCs w:val="28"/>
        </w:rPr>
        <w:t xml:space="preserve"> </w:t>
      </w:r>
      <w:bookmarkEnd w:id="11"/>
    </w:p>
    <w:p w14:paraId="07A17A38" w14:textId="4F6D54CD" w:rsidR="003D4F82" w:rsidRPr="0023041C" w:rsidRDefault="003D4F82" w:rsidP="00E918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2" w:name="_Toc78885643"/>
      <w:bookmarkStart w:id="13" w:name="_Toc142037191"/>
      <w:r w:rsidRPr="0023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230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304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платежей и расчетно-кассовое обслуживание клиентов</w:t>
      </w:r>
      <w:r w:rsidRPr="00230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73F4B" w:rsidRPr="00230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05B2B5E" w14:textId="30985A2A" w:rsidR="00E9182D" w:rsidRPr="0023041C" w:rsidRDefault="00E9182D" w:rsidP="00E918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на выполнение модуля: </w:t>
      </w:r>
      <w:r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часа</w:t>
      </w:r>
      <w:r w:rsidR="00D30713"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 минут</w:t>
      </w:r>
      <w:r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E7B1436" w14:textId="77777777" w:rsidR="00E9182D" w:rsidRPr="0023041C" w:rsidRDefault="003D4F82" w:rsidP="00E9182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041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2304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8DA6F96" w14:textId="73A12097" w:rsidR="003D4F82" w:rsidRPr="0023041C" w:rsidRDefault="00E9182D" w:rsidP="00E918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41C">
        <w:rPr>
          <w:rFonts w:ascii="Times New Roman" w:eastAsia="Calibri" w:hAnsi="Times New Roman" w:cs="Times New Roman"/>
          <w:sz w:val="28"/>
          <w:szCs w:val="28"/>
        </w:rPr>
        <w:t>К</w:t>
      </w:r>
      <w:r w:rsidR="003D4F82" w:rsidRPr="0023041C">
        <w:rPr>
          <w:rFonts w:ascii="Times New Roman" w:eastAsia="Calibri" w:hAnsi="Times New Roman" w:cs="Times New Roman"/>
          <w:sz w:val="28"/>
          <w:szCs w:val="28"/>
        </w:rPr>
        <w:t xml:space="preserve"> специалисту Банка обратился клиент по вопросу расчетно-кассового обслуживания (РКО). Необходимо проконсультировать клиента, разъяснить условия РКО и подобрать тариф в соответствии с потребностью клиента, определить пакет документов, которые должен предоставить клиент в</w:t>
      </w:r>
      <w:r w:rsidRPr="0023041C">
        <w:rPr>
          <w:rFonts w:ascii="Times New Roman" w:eastAsia="Calibri" w:hAnsi="Times New Roman" w:cs="Times New Roman"/>
          <w:sz w:val="28"/>
          <w:szCs w:val="28"/>
        </w:rPr>
        <w:t> </w:t>
      </w:r>
      <w:r w:rsidR="003D4F82" w:rsidRPr="0023041C">
        <w:rPr>
          <w:rFonts w:ascii="Times New Roman" w:eastAsia="Calibri" w:hAnsi="Times New Roman" w:cs="Times New Roman"/>
          <w:sz w:val="28"/>
          <w:szCs w:val="28"/>
        </w:rPr>
        <w:t>соответствии с выбранным тарифом, оформить необходимые документы.</w:t>
      </w:r>
    </w:p>
    <w:p w14:paraId="124D8657" w14:textId="702A9AC0" w:rsidR="003D4F82" w:rsidRPr="0023041C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Клиент обратился в банк впервые. Ему необходимо открыть счета, внести определенную сумму наличными, заполнить документы на перевод денежных средств. </w:t>
      </w:r>
    </w:p>
    <w:p w14:paraId="43277C51" w14:textId="77777777" w:rsidR="003D4F82" w:rsidRPr="0023041C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Hlk126244377"/>
      <w:r w:rsidRPr="0023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5CD8F88E" w14:textId="076C3C91" w:rsidR="003D4F82" w:rsidRPr="0023041C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</w:t>
      </w:r>
      <w:r w:rsidR="00E9182D"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оформлению банковской документации.</w:t>
      </w:r>
    </w:p>
    <w:p w14:paraId="2679C9A6" w14:textId="7F0A45FF" w:rsidR="003D4F82" w:rsidRPr="0023041C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 расчеты должны быть представлены на отдельном листе.</w:t>
      </w:r>
    </w:p>
    <w:p w14:paraId="2939ACB7" w14:textId="77777777" w:rsidR="003D4F82" w:rsidRPr="0023041C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24A39FEE" w14:textId="128EC316" w:rsidR="003D4F82" w:rsidRPr="0023041C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выполненного задания является проявление умений и</w:t>
      </w:r>
      <w:r w:rsidR="00E9182D"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навыков «сотрудника банка» при обращении клиента в банк в рамках конкретной ситуации.</w:t>
      </w:r>
    </w:p>
    <w:p w14:paraId="343B30D3" w14:textId="7549F065" w:rsidR="003D4F82" w:rsidRPr="0023041C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 выполнение задания – </w:t>
      </w:r>
      <w:r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часа, время на демонстрацию ответа конкурсанта и общение с клиентом банка – 15 минут.</w:t>
      </w:r>
      <w:bookmarkEnd w:id="14"/>
    </w:p>
    <w:p w14:paraId="5DCCCD71" w14:textId="77777777" w:rsidR="003D4F82" w:rsidRPr="0023041C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F24A23" w14:textId="0DACE4B5" w:rsidR="003D4F82" w:rsidRPr="0023041C" w:rsidRDefault="003D4F82" w:rsidP="00E9182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0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230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304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 кредитной работы </w:t>
      </w:r>
      <w:r w:rsidR="00B73F4B" w:rsidRPr="002304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(инвариант)</w:t>
      </w:r>
    </w:p>
    <w:p w14:paraId="5F95EC16" w14:textId="5FC7C051" w:rsidR="00E9182D" w:rsidRPr="00E9182D" w:rsidRDefault="00E9182D" w:rsidP="00E918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на выполнение модуля: </w:t>
      </w:r>
      <w:r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часа </w:t>
      </w:r>
      <w:r w:rsidR="00D30713"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минут</w:t>
      </w:r>
    </w:p>
    <w:p w14:paraId="158EE85A" w14:textId="77777777" w:rsidR="00E9182D" w:rsidRDefault="00E9182D" w:rsidP="00E9182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F6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166F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E12CB47" w14:textId="3E7FEB1A" w:rsidR="003D4F82" w:rsidRPr="00166F60" w:rsidRDefault="0023041C" w:rsidP="0016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D4F82"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кредитному специалисту обратился клиент по</w:t>
      </w:r>
      <w:r w:rsidR="003D4F82" w:rsidRPr="00166F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вопросу получения потребительского кредита. Необходимо проконсультировать клиента, </w:t>
      </w:r>
      <w:r w:rsidR="003D4F82" w:rsidRPr="00166F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разъяснить условия выдачи кредита и подобрать кредитный продукт в соответствии с потребностью клиента, определить пакет документов, которые должен предоставить клиент в соответствии с выбранным кредитом, провести оценку его платежеспособности и вероятность получения кредита. Оформить сделку.   </w:t>
      </w:r>
    </w:p>
    <w:p w14:paraId="220D1CDD" w14:textId="77777777" w:rsidR="003D4F82" w:rsidRPr="00166F60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5" w:name="_Hlk126244742"/>
      <w:r w:rsidRPr="00166F60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письменных материалов</w:t>
      </w:r>
    </w:p>
    <w:p w14:paraId="6C191B5B" w14:textId="77777777" w:rsidR="003D4F82" w:rsidRPr="00166F60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F60">
        <w:rPr>
          <w:rFonts w:ascii="Times New Roman" w:eastAsia="Times New Roman" w:hAnsi="Times New Roman" w:cs="Times New Roman"/>
          <w:bCs/>
          <w:sz w:val="28"/>
          <w:szCs w:val="28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72EF24DD" w14:textId="3A91475E" w:rsidR="003D4F82" w:rsidRPr="00166F60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F60">
        <w:rPr>
          <w:rFonts w:ascii="Times New Roman" w:eastAsia="Times New Roman" w:hAnsi="Times New Roman" w:cs="Times New Roman"/>
          <w:bCs/>
          <w:sz w:val="28"/>
          <w:szCs w:val="28"/>
        </w:rPr>
        <w:t>Необходимые расчеты должны быть представлены на отдельном листе.</w:t>
      </w:r>
    </w:p>
    <w:p w14:paraId="5B66285F" w14:textId="77777777" w:rsidR="003D4F82" w:rsidRPr="00166F60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6" w:name="_Hlk126245097"/>
      <w:r w:rsidRPr="00166F6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7927A88A" w14:textId="77777777" w:rsidR="003D4F82" w:rsidRPr="00166F60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F60"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  <w:bookmarkEnd w:id="16"/>
    </w:p>
    <w:p w14:paraId="326694D2" w14:textId="18D569FB" w:rsidR="003D4F82" w:rsidRPr="00166F60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задания – </w:t>
      </w:r>
      <w:r w:rsidR="00D13EB0" w:rsidRPr="00166F6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66F6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часа, время на демонстрацию ответа конкурсанта и общение с клиентом банка – 15 минут.</w:t>
      </w:r>
      <w:bookmarkEnd w:id="15"/>
    </w:p>
    <w:p w14:paraId="74289C47" w14:textId="679EE857" w:rsidR="0085078A" w:rsidRDefault="0085078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A215A4" w14:textId="0052663B" w:rsidR="003D4F82" w:rsidRDefault="00D30713" w:rsidP="00E918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3D4F82" w:rsidRPr="00166F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D4F82" w:rsidRPr="00166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Продажа банковских продуктов и услуг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73F4B" w:rsidRPr="00166F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54DAEA3B" w14:textId="20974E2D" w:rsidR="00E9182D" w:rsidRPr="00E9182D" w:rsidRDefault="00E9182D" w:rsidP="00E918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на выполнение модуля: </w:t>
      </w:r>
      <w:r w:rsidR="00D30713"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</w:t>
      </w:r>
      <w:r w:rsidR="00BE61EF"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078A"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230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</w:t>
      </w:r>
      <w:r w:rsidR="00850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F8ABB4B" w14:textId="77777777" w:rsidR="0023041C" w:rsidRDefault="00E9182D" w:rsidP="00E9182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F6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166F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07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D58CDDF" w14:textId="52F3B94F" w:rsidR="00E9182D" w:rsidRDefault="0023041C" w:rsidP="002304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30713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банк обратился клиент (физическое лицо) для рассмотрения различных вариантов инвестирования свободных денежных средств. Необходимо</w:t>
      </w:r>
      <w:r w:rsidR="003178D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3071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используя оформленную презентацию, провести консультацию клиента, подобрать оптимальный продукт, рассчитать сумму дохода, объяснить условия. Оформить сделку.</w:t>
      </w:r>
    </w:p>
    <w:p w14:paraId="5B798381" w14:textId="77777777" w:rsidR="005C4DA6" w:rsidRDefault="005C4DA6" w:rsidP="0023041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письменных материалов</w:t>
      </w:r>
    </w:p>
    <w:p w14:paraId="5FB6C58D" w14:textId="77777777" w:rsidR="005C4DA6" w:rsidRDefault="005C4DA6" w:rsidP="005C4D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01C59C53" w14:textId="77777777" w:rsidR="005C4DA6" w:rsidRDefault="005C4DA6" w:rsidP="005C4DA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Необходимые расчеты должны быть представлены на отдельном листе.</w:t>
      </w:r>
    </w:p>
    <w:p w14:paraId="3D9CE0F5" w14:textId="77777777" w:rsidR="003D4F82" w:rsidRPr="00166F60" w:rsidRDefault="003D4F82" w:rsidP="00166F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F6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Требования к презентации:</w:t>
      </w:r>
      <w:r w:rsidRPr="00166F60">
        <w:rPr>
          <w:rFonts w:ascii="Times New Roman" w:eastAsia="Calibri" w:hAnsi="Times New Roman" w:cs="Times New Roman"/>
          <w:sz w:val="28"/>
          <w:szCs w:val="28"/>
        </w:rPr>
        <w:t xml:space="preserve"> в презентации должно быть дано общее представление о кредитной организации, ее преимуществах, финансовых показателях, рейтингах, а также подробная линейка банковских продуктов. Количество слайдов – не более 20. Необходимо использовать единый стиль оформления, в </w:t>
      </w:r>
      <w:proofErr w:type="spellStart"/>
      <w:r w:rsidRPr="00166F60">
        <w:rPr>
          <w:rFonts w:ascii="Times New Roman" w:eastAsia="Calibri" w:hAnsi="Times New Roman" w:cs="Times New Roman"/>
          <w:sz w:val="28"/>
          <w:szCs w:val="28"/>
        </w:rPr>
        <w:t>брендинговом</w:t>
      </w:r>
      <w:proofErr w:type="spellEnd"/>
      <w:r w:rsidRPr="00166F60">
        <w:rPr>
          <w:rFonts w:ascii="Times New Roman" w:eastAsia="Calibri" w:hAnsi="Times New Roman" w:cs="Times New Roman"/>
          <w:sz w:val="28"/>
          <w:szCs w:val="28"/>
        </w:rPr>
        <w:t xml:space="preserve"> цвете банка. «Светлый текст на темном фоне» или «темный текст на светлом фоне». Допускаемый размер шрифта – не менее 20 пт. Шрифт информации в таблицах можно уменьшить до 18 пт. Для выделения информации следует использовать жирный шрифт, курсив или подчеркивание. Для обеспечения разнообразия следует использовать разные виды слайдов: с текстом, с таблицами, с диаграммами и картинками.</w:t>
      </w:r>
    </w:p>
    <w:p w14:paraId="466EFB55" w14:textId="77777777" w:rsidR="003D4F82" w:rsidRPr="00166F60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F6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2AACCE09" w14:textId="77777777" w:rsidR="003D4F82" w:rsidRPr="00166F60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F60"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p w14:paraId="42690729" w14:textId="39BF1F21" w:rsidR="003D4F82" w:rsidRDefault="003D4F82" w:rsidP="00166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6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задания – </w:t>
      </w:r>
      <w:r w:rsidR="005C4DA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E6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  <w:r w:rsidR="005C4DA6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BE6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  <w:r w:rsidRPr="00166F60">
        <w:rPr>
          <w:rFonts w:ascii="Times New Roman" w:eastAsia="Times New Roman" w:hAnsi="Times New Roman" w:cs="Times New Roman"/>
          <w:bCs/>
          <w:sz w:val="28"/>
          <w:szCs w:val="28"/>
        </w:rPr>
        <w:t>, время на демонстрацию ответа конкурсанта и общение с клиентом банка – 1</w:t>
      </w:r>
      <w:r w:rsidR="00D13EB0" w:rsidRPr="00166F6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166F6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минут.</w:t>
      </w:r>
    </w:p>
    <w:p w14:paraId="41FF6415" w14:textId="77777777" w:rsidR="00E9182D" w:rsidRPr="00166F60" w:rsidRDefault="00E9182D" w:rsidP="00166F6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7DAF61B3" w:rsidR="00D17132" w:rsidRPr="00166F60" w:rsidRDefault="0060658F" w:rsidP="00166F6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66F60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166F60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5A75E2A7" w14:textId="1D6C93EE" w:rsidR="003D4F82" w:rsidRPr="00166F60" w:rsidRDefault="003D4F82" w:rsidP="0016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эксперт получает от менеджера компетенции дополнительную информацию по конкурсному заданию по модулям: необходимую информацию по клиенту и (или) банковскому продукту (услуге). Данная информация доводится до конкурсантов непосредственно перед выполнением задания по</w:t>
      </w:r>
      <w:r w:rsidR="00E91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модулю. Также главному эксперту необходимо подобрать перечень банков (по количеству конкурсантов), в которых широко представлены указанные в</w:t>
      </w:r>
      <w:r w:rsidR="00E918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задании банковские продукты и услуги. Главный эксперт определяет перечень интернет-ресурсов, который может быть использован конкурсантами при выполнении задания, а также несет ответственность за наличие и соответствие необходимой информации конкурсному заданию.</w:t>
      </w:r>
    </w:p>
    <w:p w14:paraId="7785066B" w14:textId="5392B324" w:rsidR="003D4F82" w:rsidRPr="00166F60" w:rsidRDefault="003D4F82" w:rsidP="0016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конкурсного задания можно использовать следующие ресурсы: сайт кредитной организации (в соответствии с жеребьевкой), сайт </w:t>
      </w:r>
      <w:r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финансового маркетплейса </w:t>
      </w:r>
      <w:hyperlink r:id="rId9" w:history="1">
        <w:r w:rsidRPr="00166F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https://www.banki.ru/</w:t>
        </w:r>
      </w:hyperlink>
      <w:r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сайт ЦБ РФ (Банк России) </w:t>
      </w:r>
      <w:hyperlink r:id="rId10" w:history="1">
        <w:r w:rsidRPr="00166F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https://cbr.ru/</w:t>
        </w:r>
      </w:hyperlink>
      <w:r w:rsidR="008B29CE"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справочно-правовая система Консультант плюс</w:t>
      </w:r>
      <w:r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5542A56" w14:textId="77777777" w:rsidR="003D4F82" w:rsidRPr="00166F60" w:rsidRDefault="003D4F82" w:rsidP="0016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эксперт составляет пакет документов (кроме унифицированных форм), который рекомендуется для рассмотрения конкурсантами при выполнении задания.</w:t>
      </w:r>
    </w:p>
    <w:p w14:paraId="2D0A6040" w14:textId="4403E007" w:rsidR="003D4F82" w:rsidRPr="00166F60" w:rsidRDefault="003D4F82" w:rsidP="00166F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F60">
        <w:rPr>
          <w:rFonts w:ascii="Times New Roman" w:eastAsia="Calibri" w:hAnsi="Times New Roman" w:cs="Times New Roman"/>
          <w:sz w:val="28"/>
          <w:szCs w:val="28"/>
        </w:rPr>
        <w:t xml:space="preserve">Главный эксперт </w:t>
      </w:r>
      <w:r w:rsidR="009E59ED" w:rsidRPr="00166F60">
        <w:rPr>
          <w:rFonts w:ascii="Times New Roman" w:eastAsia="Calibri" w:hAnsi="Times New Roman" w:cs="Times New Roman"/>
          <w:sz w:val="28"/>
          <w:szCs w:val="28"/>
        </w:rPr>
        <w:t>раз</w:t>
      </w:r>
      <w:r w:rsidRPr="00166F60">
        <w:rPr>
          <w:rFonts w:ascii="Times New Roman" w:eastAsia="Calibri" w:hAnsi="Times New Roman" w:cs="Times New Roman"/>
          <w:sz w:val="28"/>
          <w:szCs w:val="28"/>
        </w:rPr>
        <w:t xml:space="preserve">рабатывает шаблон сценария </w:t>
      </w:r>
      <w:r w:rsidR="009E59ED" w:rsidRPr="00166F60">
        <w:rPr>
          <w:rFonts w:ascii="Times New Roman" w:eastAsia="Calibri" w:hAnsi="Times New Roman" w:cs="Times New Roman"/>
          <w:sz w:val="28"/>
          <w:szCs w:val="28"/>
        </w:rPr>
        <w:t xml:space="preserve">для актера, выступающего в роли клиента банка, </w:t>
      </w:r>
      <w:r w:rsidRPr="00166F60">
        <w:rPr>
          <w:rFonts w:ascii="Times New Roman" w:eastAsia="Calibri" w:hAnsi="Times New Roman" w:cs="Times New Roman"/>
          <w:sz w:val="28"/>
          <w:szCs w:val="28"/>
        </w:rPr>
        <w:t>в соответствии с конкретной ситуацией.</w:t>
      </w:r>
    </w:p>
    <w:p w14:paraId="6AD0F918" w14:textId="251AE073" w:rsidR="00EA30C6" w:rsidRPr="00166F60" w:rsidRDefault="003D4F82" w:rsidP="00166F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F60">
        <w:rPr>
          <w:rFonts w:ascii="Times New Roman" w:eastAsia="Calibri" w:hAnsi="Times New Roman" w:cs="Times New Roman"/>
          <w:sz w:val="28"/>
          <w:szCs w:val="28"/>
        </w:rPr>
        <w:t>Легенда актера по сценарию должна сохраняться по отношению к каждому конкурсанту чемпионата.</w:t>
      </w:r>
    </w:p>
    <w:p w14:paraId="245CDCAC" w14:textId="3300886E" w:rsidR="00E15F2A" w:rsidRPr="00166F60" w:rsidRDefault="00A11569" w:rsidP="00E9182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7" w:name="_Toc78885659"/>
      <w:bookmarkStart w:id="18" w:name="_Toc142037192"/>
      <w:r w:rsidRPr="00166F60">
        <w:rPr>
          <w:rFonts w:ascii="Times New Roman" w:hAnsi="Times New Roman"/>
          <w:color w:val="000000"/>
          <w:szCs w:val="28"/>
        </w:rPr>
        <w:t>2</w:t>
      </w:r>
      <w:r w:rsidR="00FB022D" w:rsidRPr="00166F60">
        <w:rPr>
          <w:rFonts w:ascii="Times New Roman" w:hAnsi="Times New Roman"/>
          <w:color w:val="000000"/>
          <w:szCs w:val="28"/>
        </w:rPr>
        <w:t>.</w:t>
      </w:r>
      <w:r w:rsidRPr="00166F60">
        <w:rPr>
          <w:rFonts w:ascii="Times New Roman" w:hAnsi="Times New Roman"/>
          <w:color w:val="000000"/>
          <w:szCs w:val="28"/>
        </w:rPr>
        <w:t>1</w:t>
      </w:r>
      <w:r w:rsidR="00FB022D" w:rsidRPr="00166F60">
        <w:rPr>
          <w:rFonts w:ascii="Times New Roman" w:hAnsi="Times New Roman"/>
          <w:color w:val="000000"/>
          <w:szCs w:val="28"/>
        </w:rPr>
        <w:t xml:space="preserve">. </w:t>
      </w:r>
      <w:bookmarkEnd w:id="17"/>
      <w:r w:rsidRPr="00166F60">
        <w:rPr>
          <w:rFonts w:ascii="Times New Roman" w:hAnsi="Times New Roman"/>
          <w:szCs w:val="28"/>
        </w:rPr>
        <w:t>Личный инструмент конкурсанта</w:t>
      </w:r>
      <w:bookmarkEnd w:id="18"/>
    </w:p>
    <w:p w14:paraId="11E1972C" w14:textId="77777777" w:rsidR="003D4F82" w:rsidRPr="00166F60" w:rsidRDefault="003D4F82" w:rsidP="00166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78885660"/>
      <w:bookmarkStart w:id="20" w:name="_Toc142037193"/>
      <w:r w:rsidRPr="00166F60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6A8CF5A" w14:textId="77777777" w:rsidR="00E9182D" w:rsidRDefault="00A11569" w:rsidP="00E9182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66F60">
        <w:rPr>
          <w:rFonts w:ascii="Times New Roman" w:hAnsi="Times New Roman"/>
          <w:szCs w:val="28"/>
        </w:rPr>
        <w:t>2</w:t>
      </w:r>
      <w:r w:rsidR="00FB022D" w:rsidRPr="00166F60">
        <w:rPr>
          <w:rFonts w:ascii="Times New Roman" w:hAnsi="Times New Roman"/>
          <w:szCs w:val="28"/>
        </w:rPr>
        <w:t>.2.</w:t>
      </w:r>
      <w:r w:rsidR="00FB022D" w:rsidRPr="00166F60">
        <w:rPr>
          <w:rFonts w:ascii="Times New Roman" w:hAnsi="Times New Roman"/>
          <w:i/>
          <w:szCs w:val="28"/>
        </w:rPr>
        <w:t xml:space="preserve"> </w:t>
      </w:r>
      <w:r w:rsidR="00E15F2A" w:rsidRPr="00166F60">
        <w:rPr>
          <w:rFonts w:ascii="Times New Roman" w:hAnsi="Times New Roman"/>
          <w:szCs w:val="28"/>
        </w:rPr>
        <w:t>Материалы, оборудование и инструменты,</w:t>
      </w:r>
    </w:p>
    <w:p w14:paraId="112A6605" w14:textId="66383DD4" w:rsidR="00E15F2A" w:rsidRPr="00166F60" w:rsidRDefault="00E15F2A" w:rsidP="00E9182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66F60">
        <w:rPr>
          <w:rFonts w:ascii="Times New Roman" w:hAnsi="Times New Roman"/>
          <w:szCs w:val="28"/>
        </w:rPr>
        <w:t>запрещенные на площадке</w:t>
      </w:r>
      <w:bookmarkEnd w:id="19"/>
      <w:bookmarkEnd w:id="20"/>
    </w:p>
    <w:p w14:paraId="3FE78DC8" w14:textId="77777777" w:rsidR="003D4F82" w:rsidRPr="00166F60" w:rsidRDefault="003D4F82" w:rsidP="00166F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1" w:name="_Toc142037194"/>
      <w:r w:rsidRPr="00166F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использование различных средств связи (ноутбук, планшет, смартфон, мобильный телефон, гарнитура, все типы наушников, электронные наручные часы и т.п.). Также запрещено использовать позиции, которые не прописаны в инфраструктурном листе.</w:t>
      </w:r>
    </w:p>
    <w:p w14:paraId="03196394" w14:textId="5B970BBB" w:rsidR="00B37579" w:rsidRPr="00166F60" w:rsidRDefault="00A11569" w:rsidP="00166F6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66F60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166F60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166F60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1"/>
    </w:p>
    <w:p w14:paraId="229D45A2" w14:textId="6A6B8500" w:rsidR="00945E13" w:rsidRPr="00166F60" w:rsidRDefault="00A11569" w:rsidP="00166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166F60">
        <w:rPr>
          <w:rFonts w:ascii="Times New Roman" w:hAnsi="Times New Roman" w:cs="Times New Roman"/>
          <w:sz w:val="28"/>
          <w:szCs w:val="28"/>
        </w:rPr>
        <w:t>1</w:t>
      </w:r>
      <w:r w:rsidR="00D96994" w:rsidRPr="00166F60">
        <w:rPr>
          <w:rFonts w:ascii="Times New Roman" w:hAnsi="Times New Roman" w:cs="Times New Roman"/>
          <w:sz w:val="28"/>
          <w:szCs w:val="28"/>
        </w:rPr>
        <w:t>.</w:t>
      </w:r>
      <w:r w:rsidR="00B37579" w:rsidRPr="00166F60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166F60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166F60">
        <w:rPr>
          <w:rFonts w:ascii="Times New Roman" w:hAnsi="Times New Roman" w:cs="Times New Roman"/>
          <w:sz w:val="28"/>
          <w:szCs w:val="28"/>
        </w:rPr>
        <w:t>ого</w:t>
      </w:r>
      <w:r w:rsidR="00945E13" w:rsidRPr="00166F6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66F60">
        <w:rPr>
          <w:rFonts w:ascii="Times New Roman" w:hAnsi="Times New Roman" w:cs="Times New Roman"/>
          <w:sz w:val="28"/>
          <w:szCs w:val="28"/>
        </w:rPr>
        <w:t>я</w:t>
      </w:r>
      <w:r w:rsidR="00E9182D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39DA303C" w:rsidR="00B37579" w:rsidRPr="00166F60" w:rsidRDefault="00945E13" w:rsidP="00166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60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166F60">
        <w:rPr>
          <w:rFonts w:ascii="Times New Roman" w:hAnsi="Times New Roman" w:cs="Times New Roman"/>
          <w:sz w:val="28"/>
          <w:szCs w:val="28"/>
        </w:rPr>
        <w:t>.</w:t>
      </w:r>
      <w:r w:rsidRPr="00166F60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166F60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166F60">
        <w:rPr>
          <w:rFonts w:ascii="Times New Roman" w:hAnsi="Times New Roman" w:cs="Times New Roman"/>
          <w:sz w:val="28"/>
          <w:szCs w:val="28"/>
        </w:rPr>
        <w:t>ого</w:t>
      </w:r>
      <w:r w:rsidR="00B37579" w:rsidRPr="00166F6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66F60">
        <w:rPr>
          <w:rFonts w:ascii="Times New Roman" w:hAnsi="Times New Roman" w:cs="Times New Roman"/>
          <w:sz w:val="28"/>
          <w:szCs w:val="28"/>
        </w:rPr>
        <w:t>я</w:t>
      </w:r>
      <w:r w:rsidR="00E9182D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02794278" w:rsidR="00FC6098" w:rsidRPr="00166F60" w:rsidRDefault="00B37579" w:rsidP="00166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166F60">
        <w:rPr>
          <w:rFonts w:ascii="Times New Roman" w:hAnsi="Times New Roman" w:cs="Times New Roman"/>
          <w:sz w:val="28"/>
          <w:szCs w:val="28"/>
        </w:rPr>
        <w:t>3.</w:t>
      </w:r>
      <w:r w:rsidR="007B3FD5" w:rsidRPr="00166F60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166F60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E9182D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72020AAA" w:rsidR="002B3DBB" w:rsidRPr="00166F60" w:rsidRDefault="002B3DBB" w:rsidP="00166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166F60" w:rsidSect="00166F60">
      <w:footerReference w:type="default" r:id="rId11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EF93" w14:textId="77777777" w:rsidR="00A15F2E" w:rsidRDefault="00A15F2E" w:rsidP="00970F49">
      <w:pPr>
        <w:spacing w:after="0" w:line="240" w:lineRule="auto"/>
      </w:pPr>
      <w:r>
        <w:separator/>
      </w:r>
    </w:p>
  </w:endnote>
  <w:endnote w:type="continuationSeparator" w:id="0">
    <w:p w14:paraId="1809292E" w14:textId="77777777" w:rsidR="00A15F2E" w:rsidRDefault="00A15F2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1A1C46" w14:textId="5133C26D" w:rsidR="00166F60" w:rsidRPr="00166F60" w:rsidRDefault="00473C4A" w:rsidP="00166F6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66F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6F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6F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56CB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66F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6A04" w14:textId="77777777" w:rsidR="00A15F2E" w:rsidRDefault="00A15F2E" w:rsidP="00970F49">
      <w:pPr>
        <w:spacing w:after="0" w:line="240" w:lineRule="auto"/>
      </w:pPr>
      <w:r>
        <w:separator/>
      </w:r>
    </w:p>
  </w:footnote>
  <w:footnote w:type="continuationSeparator" w:id="0">
    <w:p w14:paraId="42E7AD68" w14:textId="77777777" w:rsidR="00A15F2E" w:rsidRDefault="00A15F2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FD045C"/>
    <w:multiLevelType w:val="hybridMultilevel"/>
    <w:tmpl w:val="CDA604CE"/>
    <w:lvl w:ilvl="0" w:tplc="0598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13D399B"/>
    <w:multiLevelType w:val="hybridMultilevel"/>
    <w:tmpl w:val="8144A9A6"/>
    <w:lvl w:ilvl="0" w:tplc="CF3E026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BA6A26D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3A58AAB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7C0831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1C72AD5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3E2435A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9DEABC4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C1CC257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17C4F4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034AE"/>
    <w:multiLevelType w:val="hybridMultilevel"/>
    <w:tmpl w:val="4446C77A"/>
    <w:lvl w:ilvl="0" w:tplc="05980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8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17"/>
  </w:num>
  <w:num w:numId="24">
    <w:abstractNumId w:val="20"/>
  </w:num>
  <w:num w:numId="25">
    <w:abstractNumId w:val="10"/>
  </w:num>
  <w:num w:numId="26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22D"/>
    <w:rsid w:val="00056CDE"/>
    <w:rsid w:val="00067386"/>
    <w:rsid w:val="000732FF"/>
    <w:rsid w:val="00081D65"/>
    <w:rsid w:val="000963F0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3C4E"/>
    <w:rsid w:val="00114D79"/>
    <w:rsid w:val="00117A35"/>
    <w:rsid w:val="001229E8"/>
    <w:rsid w:val="00127743"/>
    <w:rsid w:val="00137545"/>
    <w:rsid w:val="0015561E"/>
    <w:rsid w:val="001627D5"/>
    <w:rsid w:val="00166F60"/>
    <w:rsid w:val="0017612A"/>
    <w:rsid w:val="001B4B65"/>
    <w:rsid w:val="001C1282"/>
    <w:rsid w:val="001C63E7"/>
    <w:rsid w:val="001E1DF9"/>
    <w:rsid w:val="00220E70"/>
    <w:rsid w:val="002228E8"/>
    <w:rsid w:val="0023041C"/>
    <w:rsid w:val="00237603"/>
    <w:rsid w:val="00247E8C"/>
    <w:rsid w:val="00270E01"/>
    <w:rsid w:val="002776A1"/>
    <w:rsid w:val="0029547E"/>
    <w:rsid w:val="002B1426"/>
    <w:rsid w:val="002B3DBB"/>
    <w:rsid w:val="002F2906"/>
    <w:rsid w:val="003178DF"/>
    <w:rsid w:val="003242E1"/>
    <w:rsid w:val="00325750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D4F82"/>
    <w:rsid w:val="003D5CCF"/>
    <w:rsid w:val="003F1C7D"/>
    <w:rsid w:val="00406D16"/>
    <w:rsid w:val="004164D6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32A0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4DA6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2E28"/>
    <w:rsid w:val="006776B4"/>
    <w:rsid w:val="006873B8"/>
    <w:rsid w:val="006A4EFB"/>
    <w:rsid w:val="006B0FEA"/>
    <w:rsid w:val="006C6D6D"/>
    <w:rsid w:val="006C7A3B"/>
    <w:rsid w:val="006C7CE4"/>
    <w:rsid w:val="006F4464"/>
    <w:rsid w:val="00707760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5078A"/>
    <w:rsid w:val="008761F3"/>
    <w:rsid w:val="00881DD2"/>
    <w:rsid w:val="00882B54"/>
    <w:rsid w:val="008912AE"/>
    <w:rsid w:val="008B0F23"/>
    <w:rsid w:val="008B29CE"/>
    <w:rsid w:val="008B560B"/>
    <w:rsid w:val="008C0458"/>
    <w:rsid w:val="008C41F7"/>
    <w:rsid w:val="008D6DCF"/>
    <w:rsid w:val="008E5424"/>
    <w:rsid w:val="00900604"/>
    <w:rsid w:val="00901689"/>
    <w:rsid w:val="009018F0"/>
    <w:rsid w:val="00906E82"/>
    <w:rsid w:val="009203A8"/>
    <w:rsid w:val="0093788A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9ED"/>
    <w:rsid w:val="009E5BD9"/>
    <w:rsid w:val="009F57C0"/>
    <w:rsid w:val="00A0510D"/>
    <w:rsid w:val="00A11569"/>
    <w:rsid w:val="00A15F2E"/>
    <w:rsid w:val="00A204BB"/>
    <w:rsid w:val="00A20A67"/>
    <w:rsid w:val="00A2319C"/>
    <w:rsid w:val="00A256CB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87D75"/>
    <w:rsid w:val="00A91D4B"/>
    <w:rsid w:val="00A939BD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7633"/>
    <w:rsid w:val="00B73F4B"/>
    <w:rsid w:val="00BA2CF0"/>
    <w:rsid w:val="00BC131E"/>
    <w:rsid w:val="00BC3813"/>
    <w:rsid w:val="00BC7808"/>
    <w:rsid w:val="00BE099A"/>
    <w:rsid w:val="00BE61EF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84C04"/>
    <w:rsid w:val="00C95538"/>
    <w:rsid w:val="00C96567"/>
    <w:rsid w:val="00C97E44"/>
    <w:rsid w:val="00CA6CCD"/>
    <w:rsid w:val="00CC50B7"/>
    <w:rsid w:val="00CD66EF"/>
    <w:rsid w:val="00CE2498"/>
    <w:rsid w:val="00CE36B8"/>
    <w:rsid w:val="00CE5531"/>
    <w:rsid w:val="00CF0DA9"/>
    <w:rsid w:val="00D02C00"/>
    <w:rsid w:val="00D12ABD"/>
    <w:rsid w:val="00D13EB0"/>
    <w:rsid w:val="00D16F4B"/>
    <w:rsid w:val="00D17132"/>
    <w:rsid w:val="00D2075B"/>
    <w:rsid w:val="00D229F1"/>
    <w:rsid w:val="00D30713"/>
    <w:rsid w:val="00D338BE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9182D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17522"/>
    <w:rsid w:val="00F3099C"/>
    <w:rsid w:val="00F35F4F"/>
    <w:rsid w:val="00F50AC5"/>
    <w:rsid w:val="00F6025D"/>
    <w:rsid w:val="00F672B2"/>
    <w:rsid w:val="00F8340A"/>
    <w:rsid w:val="00F83D10"/>
    <w:rsid w:val="00F83F75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FA3FF5FE-B241-43C0-8FCA-B0108D28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5021-3F56-43E3-9D71-1A265159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2594</Words>
  <Characters>14792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11</cp:revision>
  <dcterms:created xsi:type="dcterms:W3CDTF">2025-03-26T10:06:00Z</dcterms:created>
  <dcterms:modified xsi:type="dcterms:W3CDTF">2025-03-26T13:49:00Z</dcterms:modified>
</cp:coreProperties>
</file>