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№5 – Свод отраслевых (индустриальных) стандартов по компетенции «Нейросети и большие данные»</w:t>
      </w:r>
    </w:p>
    <w:p w14:paraId="00000002" w14:textId="77777777" w:rsidR="005E3325" w:rsidRDefault="005E3325"/>
    <w:p w14:paraId="00000003" w14:textId="77777777" w:rsidR="005E3325" w:rsidRDefault="005E3325"/>
    <w:p w14:paraId="00000004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«Нейросети и большие данные»</w:t>
      </w:r>
    </w:p>
    <w:p w14:paraId="00000005" w14:textId="4C39E971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6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_____________/Левицкий И.А./</w:t>
      </w:r>
    </w:p>
    <w:p w14:paraId="00000007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Индустриальный эксперт</w:t>
      </w:r>
    </w:p>
    <w:p w14:paraId="00000009" w14:textId="56D76820" w:rsidR="005E3325" w:rsidRDefault="00E9744A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регионального</w:t>
      </w:r>
      <w:r w:rsidR="00000000">
        <w:rPr>
          <w:rFonts w:ascii="Times New Roman" w:eastAsia="Times New Roman" w:hAnsi="Times New Roman" w:cs="Times New Roman"/>
          <w:sz w:val="28"/>
          <w:szCs w:val="28"/>
        </w:rPr>
        <w:t xml:space="preserve"> этапа чемпионата</w:t>
      </w:r>
    </w:p>
    <w:p w14:paraId="0000000A" w14:textId="0C6F6802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E9744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чемпионатный цикл 202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0000000B" w14:textId="3366F76C" w:rsidR="005E3325" w:rsidRDefault="0000000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_____________/</w:t>
      </w:r>
      <w:r w:rsidR="00E9744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</w:p>
    <w:p w14:paraId="0000000C" w14:textId="77777777" w:rsidR="005E3325" w:rsidRDefault="005E332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5E3325" w:rsidRDefault="005E3325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000000F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СВОД ОТРАСЛЕВЫХ (ИНДУСТРИАЛЬНЫХ) СТАНДАРТОВ</w:t>
      </w:r>
    </w:p>
    <w:p w14:paraId="00000010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компетенции «Нейросети и большие данные»</w:t>
      </w:r>
    </w:p>
    <w:p w14:paraId="00000011" w14:textId="77777777" w:rsidR="005E332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основной категории</w:t>
      </w:r>
    </w:p>
    <w:p w14:paraId="00000012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5E3325" w:rsidRDefault="005E33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отраслевых (индустриальных) стандартов по компетенции «Нейросети и большие данные» (далее – Свод) создан при взаимодействии с представителями профильной индустрии реального сектора экономики Российской Федерации и нацелен на применение актуальных производственных навыков и стандартов в рамках выполнения Конкурсного задания по компетенции «Нейросети и большие данные». Соблюдение Свода направлено на реализацию тесного взаимодействия Всероссийского чемпионатного движения и индустриальных партнеров чемпионата.</w:t>
      </w:r>
    </w:p>
    <w:p w14:paraId="0000001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Основные положения</w:t>
      </w:r>
    </w:p>
    <w:p w14:paraId="0000001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разделен на два логических раздела: раздел со стандартами по написанию программных продуктов и раздел по оформлению презентации.</w:t>
      </w:r>
    </w:p>
    <w:p w14:paraId="0000001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 используется при оценке Конкурсного задания в тех аспектах Критериев оценки, где это применимо.</w:t>
      </w:r>
    </w:p>
    <w:p w14:paraId="0000001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допустимо незначительное отклонение от требований, описанных в данном Своде.</w:t>
      </w:r>
    </w:p>
    <w:p w14:paraId="0000001B" w14:textId="77777777" w:rsidR="005E3325" w:rsidRDefault="0000000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0000001C" w14:textId="77777777" w:rsidR="005E3325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Раздел отраслевых (индустриальных) стандартов по написанию программных продуктов</w:t>
      </w:r>
    </w:p>
    <w:p w14:paraId="0000001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2.1. Стандарт написания кода (PEP/8)</w:t>
      </w:r>
    </w:p>
    <w:p w14:paraId="0000001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2.1.1. Внешний вид кода</w:t>
      </w:r>
    </w:p>
    <w:p w14:paraId="0000001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Отступы</w:t>
      </w:r>
    </w:p>
    <w:p w14:paraId="0000002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использовать 4 пробела на каждый уровень отступа.</w:t>
      </w:r>
    </w:p>
    <w:p w14:paraId="0000002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Продолжительные строки должны выравнивать обернутые элементы либо вертикально, используя неявную линию в скобках (круглых, квадратных или фигурных), либо с использованием висячего отступа. При использовании висячего отступа следует применять следующие соображения: на первой линии не должно быть аргументов, а остальные строки должны четко восприниматься как продолжение линии.</w:t>
      </w:r>
    </w:p>
    <w:p w14:paraId="0000002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Закрывающие круглые/квадратные/фигурные скобки в многострочных конструкциях могут находиться под первым не пробельным символом последней строки списка.</w:t>
      </w:r>
    </w:p>
    <w:p w14:paraId="0000002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Табуляция или пробелы</w:t>
      </w:r>
    </w:p>
    <w:p w14:paraId="0000002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Пробелы - самый предпочтительный метод отступов.</w:t>
      </w:r>
    </w:p>
    <w:p w14:paraId="0000002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Табуляция должна использоваться только для поддержки кода, написанного с отступами с помощью табуляции.</w:t>
      </w:r>
    </w:p>
    <w:p w14:paraId="0000002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версии Python 3 запрещается смешивание табуляции и пробелов в отступах.</w:t>
      </w:r>
    </w:p>
    <w:p w14:paraId="0000002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Максимальная длина строки</w:t>
      </w:r>
    </w:p>
    <w:p w14:paraId="0000002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Ограничение длины строки максимум 79 символами.</w:t>
      </w:r>
    </w:p>
    <w:p w14:paraId="0000002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более длинных блоков текста с меньшими структурными ограничениями (строки документации или комментарии), длину строки следует ограничить 72 символами.</w:t>
      </w:r>
    </w:p>
    <w:p w14:paraId="0000002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Предпочтительный способ переноса длинных строк является использование подразумеваемых продолжений строк Python внутри круглых, квадратных и фигурных скобок. Длинные строки могут быть разбиты на несколько строк, обернутые в скобки. Это предпочтительнее использования обратной косой черты для продолжения строки.</w:t>
      </w:r>
    </w:p>
    <w:p w14:paraId="0000002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Обратная косая черта все еще может быть использована время от времени. Например, длинная конструкция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может использовать неявные продолжения, так что обратная косая черта является приемлемой.</w:t>
      </w:r>
    </w:p>
    <w:p w14:paraId="0000002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Пустые строки</w:t>
      </w:r>
    </w:p>
    <w:p w14:paraId="0000002D" w14:textId="5CF5D5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отделять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функции верхнего уровня и определения классов двумя пустыми строками.</w:t>
      </w:r>
    </w:p>
    <w:p w14:paraId="0000002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методов внутри класса разделяются одной пустой строкой.</w:t>
      </w:r>
    </w:p>
    <w:p w14:paraId="0000002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пустые строки возможно использовать для разделения различных групп похожих функций. Пустые строки могут быть опущены между несколькими связанными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однострочниками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(например, набор фиктивных реализаций).</w:t>
      </w:r>
    </w:p>
    <w:p w14:paraId="0000003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Используйте пустые строки в функциях, чтобы указать логические разделы.</w:t>
      </w:r>
    </w:p>
    <w:p w14:paraId="00000031" w14:textId="77777777" w:rsidR="005E3325" w:rsidRDefault="00000000" w:rsidP="00844F2F">
      <w:pPr>
        <w:keepNext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Кодировка исходного файла</w:t>
      </w:r>
    </w:p>
    <w:p w14:paraId="00000032" w14:textId="66CB22F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Кодировка Python должна быть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UTF-8.</w:t>
      </w:r>
    </w:p>
    <w:p w14:paraId="0000003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sz w:val="28"/>
          <w:szCs w:val="28"/>
        </w:rPr>
        <w:t>Импорты</w:t>
      </w:r>
    </w:p>
    <w:p w14:paraId="0000003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Каждый импорт, как правило, должен быть на отдельной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всегда помещаются в начале файла, сразу после комментариев к модулю и строк документации, и перед объявлением констант.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Импорты должны быть сгруппированы в следующем порядке:</w:t>
      </w:r>
    </w:p>
    <w:p w14:paraId="00000035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из стандартной библиотеки;</w:t>
      </w:r>
    </w:p>
    <w:p w14:paraId="00000036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сторонних библиотек;</w:t>
      </w:r>
    </w:p>
    <w:p w14:paraId="00000037" w14:textId="77777777" w:rsidR="005E3325" w:rsidRDefault="00000000">
      <w:pPr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импорты модулей текущего проекта.</w:t>
      </w:r>
    </w:p>
    <w:p w14:paraId="00000038" w14:textId="5A228BC3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вставлять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пустую строку между каждой группой импортов.</w:t>
      </w:r>
    </w:p>
    <w:p w14:paraId="07B16613" w14:textId="77777777" w:rsidR="00844F2F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Рекомендуется абсолютное импортирование, так как оно обычно более читаемо и ведет себя лучше, если импортируемая система настроена неправильно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0000039" w14:textId="34749F64" w:rsidR="005E3325" w:rsidRDefault="00000000" w:rsidP="00844F2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 не менее, явный относительный импорт является приемлемой альтернативой абсолютному импорту, особенно при работе со сложными пакетами, где использование абсолютного импорта было бы излишне подробным: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стандартной библиотеке следует избегать сложной структуры пакетов и всегда использовать абсолютные импорты.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Неявные относительно импорты никогда не должны быть использованы, и были удалены в Python 3.</w:t>
      </w:r>
    </w:p>
    <w:p w14:paraId="0000003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Шаблоны импортов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*) следует избегать, так как они делают неясным то, какие имена присутствуют в глобальном пространстве имён, что вводит в заблуждение как читателей, так и многие автоматизированные средства.</w:t>
      </w:r>
    </w:p>
    <w:p w14:paraId="0000003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b/>
          <w:sz w:val="28"/>
          <w:szCs w:val="28"/>
        </w:rPr>
        <w:t>Пробелы в выражениях и инструкциях</w:t>
      </w:r>
    </w:p>
    <w:p w14:paraId="0000003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Необходимо избегать использования пробелов в следующих ситуациях:</w:t>
      </w:r>
    </w:p>
    <w:p w14:paraId="0000003D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внутри круглых, квадратных или фигурных скобок;</w:t>
      </w:r>
    </w:p>
    <w:p w14:paraId="0000003E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перед запятой, точкой с запятой или двоеточием;</w:t>
      </w:r>
    </w:p>
    <w:p w14:paraId="0000003F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начинается; список аргументов при вызове функции;</w:t>
      </w:r>
    </w:p>
    <w:p w14:paraId="00000040" w14:textId="77777777" w:rsidR="005E3325" w:rsidRDefault="00000000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перед открывающей скобкой, после которой следует индекс или срез.</w:t>
      </w:r>
    </w:p>
    <w:p w14:paraId="00000041" w14:textId="30E6742F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Использование более одного пробела вокруг оператора присваивания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любого </w:t>
      </w:r>
      <w:r w:rsidR="00844F2F">
        <w:rPr>
          <w:rFonts w:ascii="Times New Roman" w:eastAsia="Times New Roman" w:hAnsi="Times New Roman" w:cs="Times New Roman"/>
          <w:sz w:val="28"/>
          <w:szCs w:val="28"/>
        </w:rPr>
        <w:t>другого для того, 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выровнять его с другим.</w:t>
      </w:r>
    </w:p>
    <w:p w14:paraId="00000042" w14:textId="7D7C529B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44sinio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 xml:space="preserve">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окружать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эти бинарные операторы одним пробелом с каждой стороны: присваивания (=, +=, -= и другие), сравнения (==, &lt;, &gt;, !=, &lt;&gt;, &lt;=, &gt;=,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логические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000004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Если используются операторы с разными приоритетами, необходимо добавить пробелы вокруг операторов с самым низким приоритетом.</w:t>
      </w:r>
    </w:p>
    <w:p w14:paraId="00000044" w14:textId="0E6C8EFD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z337ya" w:colFirst="0" w:colLast="0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более одного пробела, и всегда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одинаковое количество пробелов по обе стороны бинарного оператора.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пробелы вокруг знака =, если он используется для обозначения именованного аргумента или значения параметров по умолчанию.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составные инструкции, несколько команд в одной строке.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Допустимо писать тело циклов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ветку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той же строке, если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команда короткая, но если команд несколько, необходимо разделить тело цикла и сам цикл, а также сокращать/разделять длинные строки.</w:t>
      </w:r>
    </w:p>
    <w:p w14:paraId="0000004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Комментарии</w:t>
      </w:r>
    </w:p>
    <w:p w14:paraId="00000046" w14:textId="75B62D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должны являться законченными предложениями. Если комментарий — фраза или предложение, первое слово должно быть написано с большой буквы, если только это не имя переменной, которая начинается с маленькой буквы.</w:t>
      </w:r>
    </w:p>
    <w:p w14:paraId="0000004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комментарий короткий, можно опустить точку в конце предложения. Блок комментариев обычно состоит из одного или более абзацев, составленных из полноценных предложений, поэтому каждое предложение должно заканчиваться точкой.</w:t>
      </w:r>
    </w:p>
    <w:p w14:paraId="00000048" w14:textId="70C70B31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два пробела после точки в конце предложения.</w:t>
      </w:r>
    </w:p>
    <w:p w14:paraId="0000004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b/>
          <w:sz w:val="28"/>
          <w:szCs w:val="28"/>
        </w:rPr>
        <w:t>Блоки комментариев</w:t>
      </w:r>
    </w:p>
    <w:p w14:paraId="0000004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Блок комментариев обычно объясняет код (весь, или только некоторую часть), идущий после блока, и должен иметь тот же отступ, что и сам код. Каждая строчка такого блока должна начинаться с символа # и одного пробела после него (если только сам текст комментария не имеет отступа).</w:t>
      </w:r>
    </w:p>
    <w:p w14:paraId="0000004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Абзацы внутри блока комментариев разделяются строкой, состоящей из одного символа #.</w:t>
      </w:r>
    </w:p>
    <w:p w14:paraId="0000004C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1y810tw" w:colFirst="0" w:colLast="0"/>
      <w:bookmarkEnd w:id="20"/>
      <w:r>
        <w:rPr>
          <w:rFonts w:ascii="Times New Roman" w:eastAsia="Times New Roman" w:hAnsi="Times New Roman" w:cs="Times New Roman"/>
          <w:b/>
          <w:sz w:val="28"/>
          <w:szCs w:val="28"/>
        </w:rPr>
        <w:t>"Строчные" комментарии</w:t>
      </w:r>
    </w:p>
    <w:p w14:paraId="0000004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комментарий находится в той же строке, что и инструкция.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Встрочные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 комментарии должны отделяться по крайней мере двумя пробелами от инструкции. Они должны начинаться с символа # и одного пробела.</w:t>
      </w:r>
    </w:p>
    <w:p w14:paraId="0000004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Комментарии в строке с кодом не нужны и только отвлекают от чтения, если они объясняют очевидно.</w:t>
      </w:r>
    </w:p>
    <w:p w14:paraId="0000004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b/>
          <w:sz w:val="28"/>
          <w:szCs w:val="28"/>
        </w:rPr>
        <w:t>Строки документации</w:t>
      </w:r>
    </w:p>
    <w:p w14:paraId="00000050" w14:textId="0E59F8B8" w:rsidR="005E3325" w:rsidRDefault="00844F2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документацию для всех публичных модулей, функций, классов, методов. Строки документации необязательны для приватных методов, но лучше написать, что делает метод. Комментарий нужно писать после строки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45B0E70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однострочной документации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допустимо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оставить закрывающие кавычки на той же строке.</w:t>
      </w:r>
    </w:p>
    <w:p w14:paraId="00000052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2" w:name="_2xcytpi" w:colFirst="0" w:colLast="0"/>
      <w:bookmarkEnd w:id="22"/>
    </w:p>
    <w:p w14:paraId="0000005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2.1.2. Соглашения по именованию</w:t>
      </w:r>
    </w:p>
    <w:p w14:paraId="0000005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3" w:name="_1ci93xb" w:colFirst="0" w:colLast="0"/>
      <w:bookmarkEnd w:id="23"/>
      <w:r>
        <w:rPr>
          <w:rFonts w:ascii="Times New Roman" w:eastAsia="Times New Roman" w:hAnsi="Times New Roman" w:cs="Times New Roman"/>
          <w:b/>
          <w:sz w:val="28"/>
          <w:szCs w:val="28"/>
        </w:rPr>
        <w:t>Стили имен</w:t>
      </w:r>
    </w:p>
    <w:p w14:paraId="00000055" w14:textId="6CD47C6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Существует много разных стилей.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Ниже приведены пояснения</w:t>
      </w:r>
      <w:r>
        <w:rPr>
          <w:rFonts w:ascii="Times New Roman" w:eastAsia="Times New Roman" w:hAnsi="Times New Roman" w:cs="Times New Roman"/>
          <w:sz w:val="28"/>
          <w:szCs w:val="28"/>
        </w:rPr>
        <w:t>, какой стиль именования используется, независимо от того, для чего он используется.</w:t>
      </w:r>
    </w:p>
    <w:p w14:paraId="0000005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Обычно различают следующие стили:</w:t>
      </w:r>
    </w:p>
    <w:p w14:paraId="00000057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маленькая буква)</w:t>
      </w:r>
    </w:p>
    <w:p w14:paraId="00000058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 (одиночная заглавная буква)</w:t>
      </w:r>
    </w:p>
    <w:p w14:paraId="00000059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(слово в нижнем регистре)</w:t>
      </w:r>
    </w:p>
    <w:p w14:paraId="0000005A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lower_case_with_underscores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из маленьких букв с подчеркиваниями)</w:t>
      </w:r>
    </w:p>
    <w:p w14:paraId="0000005B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UPPERCASE (заглавные буквы)</w:t>
      </w:r>
    </w:p>
    <w:p w14:paraId="0000005C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UPPERCASE_WITH_UNDERSCORES (слова из заглавных букв с подчеркиваниями)</w:t>
      </w:r>
    </w:p>
    <w:p w14:paraId="0000005D" w14:textId="3EF3CF32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CamelCase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Замечание: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использования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аббревиатуры в таком стиле,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прописывать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буквы аббревиатуры заглавными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лучше, чем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HttpServerError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E" w14:textId="77777777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(отличается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тем, что первое слово начинается с маленькой буквы)</w:t>
      </w:r>
    </w:p>
    <w:p w14:paraId="0000005F" w14:textId="56230721" w:rsidR="005E3325" w:rsidRDefault="00000000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Capitalized_Words_With_Underscores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(слова с заглавными буквами и подчеркиваниями)</w:t>
      </w:r>
    </w:p>
    <w:p w14:paraId="00000060" w14:textId="58C8F90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Ещё существует стиль, в котором имена, принадлежащие одной логической группе, имеют один короткий префикс. Этот стиль редко используется в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4" w:name="_3whwml4" w:colFirst="0" w:colLast="0"/>
      <w:bookmarkEnd w:id="24"/>
      <w:r>
        <w:rPr>
          <w:rFonts w:ascii="Times New Roman" w:eastAsia="Times New Roman" w:hAnsi="Times New Roman" w:cs="Times New Roman"/>
          <w:b/>
          <w:sz w:val="28"/>
          <w:szCs w:val="28"/>
        </w:rPr>
        <w:t>Имена, которых следует избегать</w:t>
      </w:r>
    </w:p>
    <w:p w14:paraId="00000062" w14:textId="57AF5138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Никогда не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символы l (маленькая латинская буква «эль»), O (заглавная латинская буква «о») или I (заглавная латинская буква «ай») как однобуквенные идентификаторы.</w:t>
      </w:r>
    </w:p>
    <w:p w14:paraId="00000063" w14:textId="55669032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некоторых шрифтах эти символы неотличимы от цифры один и нуля.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крайней необходимости использования символа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l,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вместо не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использовать </w:t>
      </w:r>
      <w:r>
        <w:rPr>
          <w:rFonts w:ascii="Times New Roman" w:eastAsia="Times New Roman" w:hAnsi="Times New Roman" w:cs="Times New Roman"/>
          <w:sz w:val="28"/>
          <w:szCs w:val="28"/>
        </w:rPr>
        <w:t>заглавную L.</w:t>
      </w:r>
    </w:p>
    <w:p w14:paraId="00000064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2bn6wsx" w:colFirst="0" w:colLast="0"/>
      <w:bookmarkEnd w:id="25"/>
      <w:r>
        <w:rPr>
          <w:rFonts w:ascii="Times New Roman" w:eastAsia="Times New Roman" w:hAnsi="Times New Roman" w:cs="Times New Roman"/>
          <w:b/>
          <w:sz w:val="28"/>
          <w:szCs w:val="28"/>
        </w:rPr>
        <w:t>Имена модулей и пакетов</w:t>
      </w:r>
    </w:p>
    <w:p w14:paraId="00000065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Модули должны иметь короткие имена, состоящие из маленьких букв. Можно использовать символы подчеркивания, если это улучшает читабельность. То же самое относится и к именам пакетов, однако в именах пакетов не рекомендуется использовать символ подчеркивания.</w:t>
      </w:r>
    </w:p>
    <w:p w14:paraId="0000006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как имена модулей отображаются в именах файлов, а некоторые файловые системы являются нечувствительными к регистру символов и обрезают длинные имена, очень важно использовать достаточно короткие имена модулей.</w:t>
      </w:r>
    </w:p>
    <w:p w14:paraId="00000067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Когда модуль расширения, написанный на С или C++, имеет сопутствующий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python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-модуль С/С++ модуль начинается с символа подчеркивания, например, 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socket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8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6" w:name="_qsh70q" w:colFirst="0" w:colLast="0"/>
      <w:bookmarkEnd w:id="26"/>
      <w:r>
        <w:rPr>
          <w:rFonts w:ascii="Times New Roman" w:eastAsia="Times New Roman" w:hAnsi="Times New Roman" w:cs="Times New Roman"/>
          <w:b/>
          <w:sz w:val="28"/>
          <w:szCs w:val="28"/>
        </w:rPr>
        <w:t>Имена классов</w:t>
      </w:r>
    </w:p>
    <w:p w14:paraId="00000069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Имена классов должны обычно следовать соглашению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CapWords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Вместо этого могут использоваться соглашения для именования функций, если интерфейс документирован и используется в основном как функции.</w:t>
      </w:r>
    </w:p>
    <w:p w14:paraId="0000006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sz w:val="28"/>
          <w:szCs w:val="28"/>
        </w:rPr>
        <w:t>Имена исключений</w:t>
      </w:r>
    </w:p>
    <w:p w14:paraId="0000006C" w14:textId="1BF4E3F0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исключения являются классами, к исключениям применяется стиль именования классов. Однако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допустимо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Error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имени, если, конечно, исключение действительно является ошибкой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6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b/>
          <w:sz w:val="28"/>
          <w:szCs w:val="28"/>
        </w:rPr>
        <w:t>Имена глобальных переменных</w:t>
      </w:r>
    </w:p>
    <w:p w14:paraId="0000006E" w14:textId="2F048E31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Глобальные переменные используются только внутри одного модуля.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руководствоваться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теми же соглашениями, что и для имен функций.</w:t>
      </w:r>
    </w:p>
    <w:p w14:paraId="0000006F" w14:textId="13D95169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Необходимо добавлять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модули, которые написаны так, чтобы их использовали с помощью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*, механизм 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__, чтобы предотвратить экспортирование глобальных переменных. </w:t>
      </w:r>
    </w:p>
    <w:p w14:paraId="00000070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sz w:val="28"/>
          <w:szCs w:val="28"/>
        </w:rPr>
        <w:t>Имена функций</w:t>
      </w:r>
    </w:p>
    <w:p w14:paraId="00000071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Имена функций должны состоять из маленьких букв, а слова разделяться символами подчеркивания — это необходимо, чтобы увеличить читабельность.</w:t>
      </w:r>
    </w:p>
    <w:p w14:paraId="00000072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Стиль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mixedCase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в тех местах, где уже преобладает такой стиль, для сохранения обратной совместимости.</w:t>
      </w:r>
    </w:p>
    <w:p w14:paraId="00000073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2p2csry" w:colFirst="0" w:colLast="0"/>
      <w:bookmarkEnd w:id="30"/>
      <w:r>
        <w:rPr>
          <w:rFonts w:ascii="Times New Roman" w:eastAsia="Times New Roman" w:hAnsi="Times New Roman" w:cs="Times New Roman"/>
          <w:b/>
          <w:sz w:val="28"/>
          <w:szCs w:val="28"/>
        </w:rPr>
        <w:t>Аргументы функций и методов</w:t>
      </w:r>
    </w:p>
    <w:p w14:paraId="00000074" w14:textId="423A1332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экземпляра объекта.</w:t>
      </w:r>
    </w:p>
    <w:p w14:paraId="00000075" w14:textId="6EE88E6A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147n2zr" w:colFirst="0" w:colLast="0"/>
      <w:bookmarkEnd w:id="31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первого аргумента метода класса.</w:t>
      </w:r>
    </w:p>
    <w:p w14:paraId="00000076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3o7alnk" w:colFirst="0" w:colLast="0"/>
      <w:bookmarkEnd w:id="32"/>
      <w:r>
        <w:rPr>
          <w:rFonts w:ascii="Times New Roman" w:eastAsia="Times New Roman" w:hAnsi="Times New Roman" w:cs="Times New Roman"/>
          <w:b/>
          <w:sz w:val="28"/>
          <w:szCs w:val="28"/>
        </w:rPr>
        <w:t>Имена методов и переменных экземпляров классов</w:t>
      </w:r>
    </w:p>
    <w:p w14:paraId="00000077" w14:textId="72443674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23ckvvd" w:colFirst="0" w:colLast="0"/>
      <w:bookmarkEnd w:id="33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тот же стиль, что и для имен функций: имена должны состоять из маленьких букв, а слова разделяться символами подчеркивания.</w:t>
      </w:r>
    </w:p>
    <w:p w14:paraId="00000078" w14:textId="55BA1A87" w:rsidR="005E3325" w:rsidRDefault="00A716A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ihv636" w:colFirst="0" w:colLast="0"/>
      <w:bookmarkEnd w:id="34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один символ подчеркивания перед именем для непубличных методов и атрибутов.</w:t>
      </w:r>
    </w:p>
    <w:p w14:paraId="00000079" w14:textId="29074654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_32hioqz" w:colFirst="0" w:colLast="0"/>
      <w:bookmarkEnd w:id="35"/>
      <w:r>
        <w:rPr>
          <w:rFonts w:ascii="Times New Roman" w:eastAsia="Times New Roman" w:hAnsi="Times New Roman" w:cs="Times New Roman"/>
          <w:sz w:val="28"/>
          <w:szCs w:val="28"/>
        </w:rPr>
        <w:t xml:space="preserve">Чтобы избежать конфликтов имен с подклассами, </w:t>
      </w:r>
      <w:r w:rsidR="00A716A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 использовать</w:t>
      </w:r>
      <w:r w:rsidR="00A71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два ведущих подчеркивания.</w:t>
      </w:r>
    </w:p>
    <w:p w14:paraId="0000007A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6" w:name="_1hmsyys" w:colFirst="0" w:colLast="0"/>
      <w:bookmarkEnd w:id="36"/>
      <w:r>
        <w:rPr>
          <w:rFonts w:ascii="Times New Roman" w:eastAsia="Times New Roman" w:hAnsi="Times New Roman" w:cs="Times New Roman"/>
          <w:b/>
          <w:sz w:val="28"/>
          <w:szCs w:val="28"/>
        </w:rPr>
        <w:t>Константы</w:t>
      </w:r>
    </w:p>
    <w:p w14:paraId="0000007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41mghml" w:colFirst="0" w:colLast="0"/>
      <w:bookmarkEnd w:id="37"/>
      <w:r>
        <w:rPr>
          <w:rFonts w:ascii="Times New Roman" w:eastAsia="Times New Roman" w:hAnsi="Times New Roman" w:cs="Times New Roman"/>
          <w:sz w:val="28"/>
          <w:szCs w:val="28"/>
        </w:rPr>
        <w:t>Константы объявляются на уровне модуля и записываются только заглавными буквами, а слова разделяются символами подчеркивания.</w:t>
      </w:r>
    </w:p>
    <w:p w14:paraId="0000007C" w14:textId="77777777" w:rsidR="005E3325" w:rsidRPr="00A716AE" w:rsidRDefault="00000000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A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Разделение ответственности</w:t>
      </w:r>
    </w:p>
    <w:p w14:paraId="0000007D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должен быть упорядоченный, который шаг за шагом объясняет каждую часть программы, предсказуемым и легко понятным образом.</w:t>
      </w:r>
    </w:p>
    <w:p w14:paraId="0000007E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2.1.3. Принципы разработки программного кода </w:t>
      </w:r>
    </w:p>
    <w:p w14:paraId="0000007F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программного продукта необходимо соблюдать следующие правила и принципы:</w:t>
      </w:r>
    </w:p>
    <w:p w14:paraId="00000080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объектно-ориентированный подход - код должен быть организован в виде объектов, что способствует улучшению модульности и повторного использования кода;</w:t>
      </w:r>
    </w:p>
    <w:p w14:paraId="00000081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избегания дублирования кода (DRY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repeat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yourself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каждый элемент кода должен быть представлен единожды и в одном месте. Для этого следует избегать дублирования кода, выделяя общие части в отдельные функции или классы;</w:t>
      </w:r>
    </w:p>
    <w:p w14:paraId="00000082" w14:textId="77777777" w:rsidR="005E3325" w:rsidRDefault="00000000">
      <w:pPr>
        <w:numPr>
          <w:ilvl w:val="0"/>
          <w:numId w:val="2"/>
        </w:num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простота и четкость структуры (KISS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Keep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- код должен быть как можно проще и не содержать излишней сложности. Это помогает легче понимать и сопровождать код;</w:t>
      </w:r>
    </w:p>
    <w:p w14:paraId="00000083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минимизация сложности и избыточных абстракций - необходимо избегать ненужных усложнений и чрезмерного использования абстракций, которые могут затруднить понимание кода;</w:t>
      </w:r>
    </w:p>
    <w:p w14:paraId="00000084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только необходимых библиотек - необходимо применять только те библиотеки, которые действительно необходимы для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выполнения задач, а также избегать ненужного увеличения зависимостей проекта от сторонних библиотек;</w:t>
      </w:r>
    </w:p>
    <w:p w14:paraId="00000085" w14:textId="77777777" w:rsidR="005E3325" w:rsidRDefault="0000000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принципы SOLID.</w:t>
      </w:r>
    </w:p>
    <w:p w14:paraId="00000086" w14:textId="77777777" w:rsidR="005E3325" w:rsidRDefault="005E332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B" w14:textId="77777777" w:rsidR="005E3325" w:rsidRDefault="00000000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Отраслевые (индустриальные) стандарты по созданию презентации</w:t>
      </w:r>
    </w:p>
    <w:p w14:paraId="6517E82C" w14:textId="153098C9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3.1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Общие правила оформления презентаций</w:t>
      </w:r>
    </w:p>
    <w:p w14:paraId="758D0983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 требования:</w:t>
      </w:r>
    </w:p>
    <w:p w14:paraId="3EB2EC43" w14:textId="7777777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 слайдах должны быть только тезисы, ключевые фразы и графическая информация (рисунки, графики и т.п.) – они сопровождают подробное изложение мыслей докладчика, но не наоборот;</w:t>
      </w:r>
    </w:p>
    <w:p w14:paraId="711EA1F9" w14:textId="030AB697" w:rsidR="007F0DFB" w:rsidRPr="007F0DFB" w:rsidRDefault="007F0DFB" w:rsidP="007F0DFB">
      <w:pPr>
        <w:numPr>
          <w:ilvl w:val="0"/>
          <w:numId w:val="13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стоит заполнять слайд большим количеством информации. Наиболее важную информацию желательно помещать в центр слайда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3F38D348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шрифтового оформления:</w:t>
      </w:r>
    </w:p>
    <w:p w14:paraId="020E345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Рекомендуется использовать шрифты с засечками (Georgia,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Palatino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Times New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Roman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);</w:t>
      </w:r>
    </w:p>
    <w:p w14:paraId="75FBD15D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шрифта: 24-54 пункта (заголовок), 18-36 пунктов (обычный текст);</w:t>
      </w:r>
    </w:p>
    <w:p w14:paraId="589BC71C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Курсив, подчеркивание, жирный шрифт, прописные буквы используются для смыслового выделения ключевой информации и заголовков;</w:t>
      </w:r>
    </w:p>
    <w:p w14:paraId="6B326459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рекомендуется использовать более 2-3 типов шрифта;</w:t>
      </w:r>
    </w:p>
    <w:p w14:paraId="074088BF" w14:textId="77777777" w:rsidR="007F0DFB" w:rsidRPr="007F0DFB" w:rsidRDefault="007F0DFB" w:rsidP="007F0DFB">
      <w:pPr>
        <w:numPr>
          <w:ilvl w:val="0"/>
          <w:numId w:val="14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Основной текст должен быть отформатирован по ширине, на схемах – по центру</w:t>
      </w:r>
    </w:p>
    <w:p w14:paraId="51CAB5C4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Правила выбора цветовой гаммы:</w:t>
      </w:r>
    </w:p>
    <w:p w14:paraId="68AC0AC0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Цветовая гамма должна состоять не более чем из 2 цветов и выдержана во всей презентации. Основная цель – читаемость презентации;</w:t>
      </w:r>
    </w:p>
    <w:p w14:paraId="2B254CD4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Желателен одноцветный фон неярких пастельных тонов (например, светло-зеленый, светло-синий, бежевый, светло-оранжевый и светло-желтый);</w:t>
      </w:r>
    </w:p>
    <w:p w14:paraId="51013C21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Цвет шрифта и цвет фона должны контрастировать (текст должен хорошо читаться, белый текст на черном фоне читается плохо);</w:t>
      </w:r>
    </w:p>
    <w:p w14:paraId="376C9308" w14:textId="77777777" w:rsidR="007F0DFB" w:rsidRPr="007F0DFB" w:rsidRDefault="007F0DFB" w:rsidP="007F0DFB">
      <w:pPr>
        <w:numPr>
          <w:ilvl w:val="0"/>
          <w:numId w:val="15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Оформление презентации не должно отвлекать внимания от её содержания.</w:t>
      </w:r>
    </w:p>
    <w:p w14:paraId="5B5179F7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Графическая информация:</w:t>
      </w:r>
    </w:p>
    <w:p w14:paraId="5FC0CD53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Рисунки, фотографии, диаграммы должны быть наглядными и нести смысловую нагрузку, сопровождаться названиями;</w:t>
      </w:r>
    </w:p>
    <w:p w14:paraId="0291C5C5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Изображения (в формате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jpg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 лучше заранее обработать для уменьшения размера файла;</w:t>
      </w:r>
    </w:p>
    <w:p w14:paraId="2D5CB729" w14:textId="77777777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Размер одного графического объекта – не более 1/2 размера слайда;</w:t>
      </w:r>
    </w:p>
    <w:p w14:paraId="58EB7A42" w14:textId="61BFDC9A" w:rsidR="007F0DFB" w:rsidRPr="007F0DFB" w:rsidRDefault="007F0DFB" w:rsidP="007F0DFB">
      <w:pPr>
        <w:numPr>
          <w:ilvl w:val="0"/>
          <w:numId w:val="16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Соотношение текст-картинки – 2/3 (текста меньше, чем картинок).</w:t>
      </w:r>
    </w:p>
    <w:p w14:paraId="5CBE2911" w14:textId="4F0B62F8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Практически неоспоримым является факт, что дизайн презентаций оказывает самое непосредственное влияние на мотивацию, скорость восприятия материала, утомляемость и ряд других важных показателей. Поэтому дизайн интерфейса не должен разрабатываться на интуитивном уровне. Требуется научно обоснованный, взвешенный и продуманный системный подход.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 xml:space="preserve">Существует мнение, что наглядный материал не просто некоторая информация в чувственной форме представления, а информационная модель определенного профессионального опыта, которая должна соответствовать требованиям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эстетики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 xml:space="preserve">эргономики 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7F0DFB">
        <w:rPr>
          <w:rFonts w:ascii="Times New Roman" w:eastAsia="Times New Roman" w:hAnsi="Times New Roman" w:cs="Times New Roman"/>
          <w:bCs/>
          <w:i/>
          <w:sz w:val="28"/>
          <w:szCs w:val="28"/>
          <w:lang w:val="ru-RU"/>
        </w:rPr>
        <w:t>дизайна</w:t>
      </w: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51E777FA" w14:textId="304E4720" w:rsid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3.2 </w:t>
      </w:r>
      <w:r w:rsidRPr="007F0DF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Типичные недочеты и ошибки при создании презентаций</w:t>
      </w:r>
    </w:p>
    <w:p w14:paraId="43F70B4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качестве наиболее типичных недочетов и ошибок при конструировании и оформлении электронных презентаций, часто снижающих их эффективность, можно выделить следующие.</w:t>
      </w:r>
    </w:p>
    <w:p w14:paraId="7778D4F9" w14:textId="77777777" w:rsidR="007F0DFB" w:rsidRPr="007F0DFB" w:rsidRDefault="007F0DFB" w:rsidP="007F0DFB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Часто встречающиеся ошибки стиля и оформления:</w:t>
      </w:r>
    </w:p>
    <w:p w14:paraId="718F430C" w14:textId="7A7930CB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Орфографические и стилистические ошибки, недопустимые в профессиональной среде;</w:t>
      </w:r>
    </w:p>
    <w:p w14:paraId="200C2776" w14:textId="77777777" w:rsidR="007F0DFB" w:rsidRPr="007F0DFB" w:rsidRDefault="007F0DFB" w:rsidP="007F0DFB">
      <w:pPr>
        <w:numPr>
          <w:ilvl w:val="1"/>
          <w:numId w:val="19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единства стиля страниц:</w:t>
      </w:r>
    </w:p>
    <w:p w14:paraId="0D529656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всех заголовков (не менее 24 пунктов);</w:t>
      </w:r>
    </w:p>
    <w:p w14:paraId="345E2B1F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гарнитура и размер шрифта для тестовых фрагментов (не менее 18 пунктов);</w:t>
      </w:r>
    </w:p>
    <w:p w14:paraId="1BA921DA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заголовки, номера страниц, кнопки перелистывания должны появляться в одном и том же месте экрана;</w:t>
      </w:r>
    </w:p>
    <w:p w14:paraId="428456A7" w14:textId="77777777" w:rsidR="007F0DFB" w:rsidRPr="007F0DFB" w:rsidRDefault="007F0DFB" w:rsidP="007F0DFB">
      <w:pPr>
        <w:numPr>
          <w:ilvl w:val="2"/>
          <w:numId w:val="20"/>
        </w:numPr>
        <w:ind w:left="1418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одинаковая цветовая гамма на всех станицах и т.п.</w:t>
      </w:r>
    </w:p>
    <w:p w14:paraId="69FD0FD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Неудачный выбор цветовой гаммы: использование слишком ярких и утомительных цветов, использование в дизайне более 3 цветов (цвет текста, цвет фона, цвет заголовка и/или выделения); использование темного фона со светлым текстом;</w:t>
      </w:r>
    </w:p>
    <w:p w14:paraId="2C54CC3F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разных фонов на слайдах в рамках одной презентации;</w:t>
      </w:r>
    </w:p>
    <w:p w14:paraId="4C2C6860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полей на слайдах;</w:t>
      </w:r>
    </w:p>
    <w:p w14:paraId="5EACFC65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Использование рисунков, фотографий плохого качества и с искажениями пропорций;</w:t>
      </w:r>
    </w:p>
    <w:p w14:paraId="2D5BA082" w14:textId="53D0D3B2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должного выравнивания текста, использование разного размера шрифта;</w:t>
      </w:r>
    </w:p>
    <w:p w14:paraId="2F2971B2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Низкая контрастность фон / текст;</w:t>
      </w:r>
    </w:p>
    <w:p w14:paraId="63FB84AA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Низкая контрастность гиперссылок (нужно помнить, что у гиперссылки три состояния: выбрана, по гиперссылке еще не переходили, по гиперссылке уже переходили – нужно обращать на цвет гиперссылки во всех </w:t>
      </w:r>
      <w:proofErr w:type="spellStart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состоянях</w:t>
      </w:r>
      <w:proofErr w:type="spellEnd"/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);</w:t>
      </w:r>
    </w:p>
    <w:p w14:paraId="431D6724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Отсутствие или неясность связей в схемах или между компонентами материала на слайде;</w:t>
      </w:r>
    </w:p>
    <w:p w14:paraId="5A0AB3CE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Наличие различных эффектов переходов между слайдами и других раздражающих эффектов анимации, мешающих восприятию информации;</w:t>
      </w:r>
    </w:p>
    <w:p w14:paraId="67A0DCF8" w14:textId="77777777" w:rsidR="007F0DFB" w:rsidRPr="007F0DFB" w:rsidRDefault="007F0DFB" w:rsidP="007F0DFB">
      <w:pPr>
        <w:numPr>
          <w:ilvl w:val="1"/>
          <w:numId w:val="21"/>
        </w:numPr>
        <w:ind w:left="709" w:hanging="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F0DF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Слишком быстрая смена слайдов и анимационных эффектов (при автоматической настройке презентации), отсутствие учета скорости и законов восприятия зрительной информации.</w:t>
      </w:r>
    </w:p>
    <w:p w14:paraId="3D282C7D" w14:textId="77777777" w:rsidR="007F0DFB" w:rsidRPr="007F0DFB" w:rsidRDefault="007F0DF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AB" w14:textId="77777777" w:rsidR="005E3325" w:rsidRPr="007F203C" w:rsidRDefault="005E3325"/>
    <w:sectPr w:rsidR="005E3325" w:rsidRPr="007F203C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3151"/>
    <w:multiLevelType w:val="hybridMultilevel"/>
    <w:tmpl w:val="44E2E046"/>
    <w:lvl w:ilvl="0" w:tplc="659A5906">
      <w:start w:val="1"/>
      <w:numFmt w:val="decimal"/>
      <w:lvlText w:val="%1."/>
      <w:lvlJc w:val="left"/>
      <w:pPr>
        <w:ind w:left="868" w:hanging="361"/>
        <w:jc w:val="right"/>
      </w:pPr>
      <w:rPr>
        <w:rFonts w:hint="default"/>
        <w:spacing w:val="-1"/>
        <w:w w:val="99"/>
        <w:lang w:val="ru-RU" w:eastAsia="en-US" w:bidi="ar-SA"/>
      </w:rPr>
    </w:lvl>
    <w:lvl w:ilvl="1" w:tplc="AE1CFDEA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A22AB488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5BEBC08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2868612C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325EB478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0B5AF606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C4324E86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DD48BFC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966FD9"/>
    <w:multiLevelType w:val="multilevel"/>
    <w:tmpl w:val="5414E3C6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2" w15:restartNumberingAfterBreak="0">
    <w:nsid w:val="0BED2A35"/>
    <w:multiLevelType w:val="hybridMultilevel"/>
    <w:tmpl w:val="C7D028D2"/>
    <w:lvl w:ilvl="0" w:tplc="4E9E5A20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DF404398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3E64FA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23D4DE44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EC76CA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BF2CA2B2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9969600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0DFE1836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22A45EFC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92C5DF1"/>
    <w:multiLevelType w:val="hybridMultilevel"/>
    <w:tmpl w:val="9C82CD2C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1BD27B8F"/>
    <w:multiLevelType w:val="multilevel"/>
    <w:tmpl w:val="DE96BE1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236322"/>
    <w:multiLevelType w:val="hybridMultilevel"/>
    <w:tmpl w:val="B6B492AA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6" w15:restartNumberingAfterBreak="0">
    <w:nsid w:val="26BD6614"/>
    <w:multiLevelType w:val="hybridMultilevel"/>
    <w:tmpl w:val="269A316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spacing w:val="-1"/>
        <w:w w:val="99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FFFFFFFF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5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1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A677F1C"/>
    <w:multiLevelType w:val="multilevel"/>
    <w:tmpl w:val="5632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8C6D3A"/>
    <w:multiLevelType w:val="hybridMultilevel"/>
    <w:tmpl w:val="3620CD5C"/>
    <w:lvl w:ilvl="0" w:tplc="DD92C3F2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C1B86B3E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B84A7664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5A201076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D87A4CB2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CD4443F8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CEDEC178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CF03D3E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DE82C4FA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4296400B"/>
    <w:multiLevelType w:val="multilevel"/>
    <w:tmpl w:val="365815B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6D637D"/>
    <w:multiLevelType w:val="hybridMultilevel"/>
    <w:tmpl w:val="DA0453C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9130FE0"/>
    <w:multiLevelType w:val="multilevel"/>
    <w:tmpl w:val="835CC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4AC04A9"/>
    <w:multiLevelType w:val="hybridMultilevel"/>
    <w:tmpl w:val="3D7C2448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B9777C4"/>
    <w:multiLevelType w:val="hybridMultilevel"/>
    <w:tmpl w:val="C7B88AF4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5DDE5C70"/>
    <w:multiLevelType w:val="multilevel"/>
    <w:tmpl w:val="DB784D1A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5" w15:restartNumberingAfterBreak="0">
    <w:nsid w:val="6D384CAA"/>
    <w:multiLevelType w:val="hybridMultilevel"/>
    <w:tmpl w:val="9D16CCD0"/>
    <w:lvl w:ilvl="0" w:tplc="D2AA6D2A">
      <w:start w:val="1"/>
      <w:numFmt w:val="decimal"/>
      <w:lvlText w:val="%1."/>
      <w:lvlJc w:val="left"/>
      <w:pPr>
        <w:ind w:left="86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75A4A83C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73D2BD30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4FB2B5FE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62CC97F4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DF9E6AC4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3E0256CE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8E9C8B9C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420E79DE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EA90ED2"/>
    <w:multiLevelType w:val="hybridMultilevel"/>
    <w:tmpl w:val="8928364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700840B7"/>
    <w:multiLevelType w:val="multilevel"/>
    <w:tmpl w:val="E61C7478"/>
    <w:lvl w:ilvl="0">
      <w:start w:val="1"/>
      <w:numFmt w:val="decimal"/>
      <w:lvlText w:val="%1."/>
      <w:lvlJc w:val="left"/>
      <w:pPr>
        <w:ind w:left="868" w:hanging="361"/>
      </w:pPr>
      <w:rPr>
        <w:rFonts w:ascii="Helvetica Neue" w:eastAsia="Helvetica Neue" w:hAnsi="Helvetica Neue" w:cs="Helvetica Neue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836" w:hanging="361"/>
      </w:pPr>
    </w:lvl>
    <w:lvl w:ilvl="2">
      <w:numFmt w:val="bullet"/>
      <w:lvlText w:val="•"/>
      <w:lvlJc w:val="left"/>
      <w:pPr>
        <w:ind w:left="2813" w:hanging="361"/>
      </w:pPr>
    </w:lvl>
    <w:lvl w:ilvl="3">
      <w:numFmt w:val="bullet"/>
      <w:lvlText w:val="•"/>
      <w:lvlJc w:val="left"/>
      <w:pPr>
        <w:ind w:left="3789" w:hanging="361"/>
      </w:pPr>
    </w:lvl>
    <w:lvl w:ilvl="4">
      <w:numFmt w:val="bullet"/>
      <w:lvlText w:val="•"/>
      <w:lvlJc w:val="left"/>
      <w:pPr>
        <w:ind w:left="4766" w:hanging="361"/>
      </w:pPr>
    </w:lvl>
    <w:lvl w:ilvl="5">
      <w:numFmt w:val="bullet"/>
      <w:lvlText w:val="•"/>
      <w:lvlJc w:val="left"/>
      <w:pPr>
        <w:ind w:left="5743" w:hanging="361"/>
      </w:pPr>
    </w:lvl>
    <w:lvl w:ilvl="6">
      <w:numFmt w:val="bullet"/>
      <w:lvlText w:val="•"/>
      <w:lvlJc w:val="left"/>
      <w:pPr>
        <w:ind w:left="6719" w:hanging="361"/>
      </w:pPr>
    </w:lvl>
    <w:lvl w:ilvl="7">
      <w:numFmt w:val="bullet"/>
      <w:lvlText w:val="•"/>
      <w:lvlJc w:val="left"/>
      <w:pPr>
        <w:ind w:left="7696" w:hanging="361"/>
      </w:pPr>
    </w:lvl>
    <w:lvl w:ilvl="8">
      <w:numFmt w:val="bullet"/>
      <w:lvlText w:val="•"/>
      <w:lvlJc w:val="left"/>
      <w:pPr>
        <w:ind w:left="8673" w:hanging="361"/>
      </w:pPr>
    </w:lvl>
  </w:abstractNum>
  <w:abstractNum w:abstractNumId="18" w15:restartNumberingAfterBreak="0">
    <w:nsid w:val="74967484"/>
    <w:multiLevelType w:val="hybridMultilevel"/>
    <w:tmpl w:val="4C049FC6"/>
    <w:lvl w:ilvl="0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FFFFFFF">
      <w:numFmt w:val="bullet"/>
      <w:lvlText w:val=""/>
      <w:lvlJc w:val="left"/>
      <w:pPr>
        <w:ind w:left="8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FFFFFF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7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96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3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A780F5A"/>
    <w:multiLevelType w:val="multilevel"/>
    <w:tmpl w:val="3A1CB5D6"/>
    <w:lvl w:ilvl="0">
      <w:start w:val="1"/>
      <w:numFmt w:val="decimal"/>
      <w:lvlText w:val="%1."/>
      <w:lvlJc w:val="left"/>
      <w:pPr>
        <w:ind w:left="868" w:hanging="361"/>
      </w:pPr>
    </w:lvl>
    <w:lvl w:ilvl="1">
      <w:numFmt w:val="bullet"/>
      <w:lvlText w:val="●"/>
      <w:lvlJc w:val="left"/>
      <w:pPr>
        <w:ind w:left="868" w:hanging="361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2">
      <w:numFmt w:val="bullet"/>
      <w:lvlText w:val="o"/>
      <w:lvlJc w:val="left"/>
      <w:pPr>
        <w:ind w:left="1588" w:hanging="360"/>
      </w:pPr>
      <w:rPr>
        <w:rFonts w:ascii="Courier New" w:eastAsia="Courier New" w:hAnsi="Courier New" w:cs="Courier New"/>
        <w:b w:val="0"/>
        <w:i w:val="0"/>
        <w:sz w:val="20"/>
        <w:szCs w:val="20"/>
      </w:rPr>
    </w:lvl>
    <w:lvl w:ilvl="3">
      <w:numFmt w:val="bullet"/>
      <w:lvlText w:val="•"/>
      <w:lvlJc w:val="left"/>
      <w:pPr>
        <w:ind w:left="3590" w:hanging="360"/>
      </w:pPr>
    </w:lvl>
    <w:lvl w:ilvl="4">
      <w:numFmt w:val="bullet"/>
      <w:lvlText w:val="•"/>
      <w:lvlJc w:val="left"/>
      <w:pPr>
        <w:ind w:left="4595" w:hanging="360"/>
      </w:pPr>
    </w:lvl>
    <w:lvl w:ilvl="5">
      <w:numFmt w:val="bullet"/>
      <w:lvlText w:val="•"/>
      <w:lvlJc w:val="left"/>
      <w:pPr>
        <w:ind w:left="5600" w:hanging="360"/>
      </w:pPr>
    </w:lvl>
    <w:lvl w:ilvl="6">
      <w:numFmt w:val="bullet"/>
      <w:lvlText w:val="•"/>
      <w:lvlJc w:val="left"/>
      <w:pPr>
        <w:ind w:left="6605" w:hanging="360"/>
      </w:pPr>
    </w:lvl>
    <w:lvl w:ilvl="7">
      <w:numFmt w:val="bullet"/>
      <w:lvlText w:val="•"/>
      <w:lvlJc w:val="left"/>
      <w:pPr>
        <w:ind w:left="7610" w:hanging="360"/>
      </w:pPr>
    </w:lvl>
    <w:lvl w:ilvl="8">
      <w:numFmt w:val="bullet"/>
      <w:lvlText w:val="•"/>
      <w:lvlJc w:val="left"/>
      <w:pPr>
        <w:ind w:left="8616" w:hanging="360"/>
      </w:pPr>
    </w:lvl>
  </w:abstractNum>
  <w:abstractNum w:abstractNumId="20" w15:restartNumberingAfterBreak="0">
    <w:nsid w:val="7ED201F3"/>
    <w:multiLevelType w:val="hybridMultilevel"/>
    <w:tmpl w:val="799E1BD0"/>
    <w:lvl w:ilvl="0" w:tplc="FFFFFFFF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395867BA">
      <w:start w:val="1"/>
      <w:numFmt w:val="bullet"/>
      <w:lvlText w:val="-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num w:numId="1" w16cid:durableId="1603762391">
    <w:abstractNumId w:val="14"/>
  </w:num>
  <w:num w:numId="2" w16cid:durableId="1983391059">
    <w:abstractNumId w:val="11"/>
  </w:num>
  <w:num w:numId="3" w16cid:durableId="1208376947">
    <w:abstractNumId w:val="9"/>
  </w:num>
  <w:num w:numId="4" w16cid:durableId="1713574886">
    <w:abstractNumId w:val="7"/>
  </w:num>
  <w:num w:numId="5" w16cid:durableId="1647903160">
    <w:abstractNumId w:val="4"/>
  </w:num>
  <w:num w:numId="6" w16cid:durableId="274335944">
    <w:abstractNumId w:val="19"/>
  </w:num>
  <w:num w:numId="7" w16cid:durableId="152918527">
    <w:abstractNumId w:val="1"/>
  </w:num>
  <w:num w:numId="8" w16cid:durableId="1477337958">
    <w:abstractNumId w:val="17"/>
  </w:num>
  <w:num w:numId="9" w16cid:durableId="1607687475">
    <w:abstractNumId w:val="0"/>
  </w:num>
  <w:num w:numId="10" w16cid:durableId="1675180214">
    <w:abstractNumId w:val="8"/>
  </w:num>
  <w:num w:numId="11" w16cid:durableId="2072271064">
    <w:abstractNumId w:val="15"/>
  </w:num>
  <w:num w:numId="12" w16cid:durableId="2017461637">
    <w:abstractNumId w:val="2"/>
  </w:num>
  <w:num w:numId="13" w16cid:durableId="1321812289">
    <w:abstractNumId w:val="18"/>
  </w:num>
  <w:num w:numId="14" w16cid:durableId="2007051610">
    <w:abstractNumId w:val="12"/>
  </w:num>
  <w:num w:numId="15" w16cid:durableId="294413491">
    <w:abstractNumId w:val="10"/>
  </w:num>
  <w:num w:numId="16" w16cid:durableId="1491554035">
    <w:abstractNumId w:val="6"/>
  </w:num>
  <w:num w:numId="17" w16cid:durableId="1186750347">
    <w:abstractNumId w:val="5"/>
  </w:num>
  <w:num w:numId="18" w16cid:durableId="764618226">
    <w:abstractNumId w:val="16"/>
  </w:num>
  <w:num w:numId="19" w16cid:durableId="1727218961">
    <w:abstractNumId w:val="13"/>
  </w:num>
  <w:num w:numId="20" w16cid:durableId="503277386">
    <w:abstractNumId w:val="3"/>
  </w:num>
  <w:num w:numId="21" w16cid:durableId="18482470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25"/>
    <w:rsid w:val="005E3325"/>
    <w:rsid w:val="007E2F1D"/>
    <w:rsid w:val="007F0DFB"/>
    <w:rsid w:val="007F203C"/>
    <w:rsid w:val="00844F2F"/>
    <w:rsid w:val="0094136E"/>
    <w:rsid w:val="00A716AE"/>
    <w:rsid w:val="00E9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CFB46"/>
  <w15:docId w15:val="{E9B1A224-9BED-BD46-AC96-1D42608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/>
    </w:pPr>
    <w:rPr>
      <w:rFonts w:ascii="Play" w:eastAsia="Play" w:hAnsi="Play" w:cs="Play"/>
      <w:sz w:val="56"/>
      <w:szCs w:val="56"/>
    </w:rPr>
  </w:style>
  <w:style w:type="paragraph" w:styleId="a4">
    <w:name w:val="Subtitle"/>
    <w:basedOn w:val="a"/>
    <w:next w:val="a"/>
    <w:uiPriority w:val="11"/>
    <w:qFormat/>
    <w:pPr>
      <w:spacing w:after="160"/>
    </w:pPr>
    <w:rPr>
      <w:color w:val="595959"/>
      <w:sz w:val="28"/>
      <w:szCs w:val="28"/>
    </w:rPr>
  </w:style>
  <w:style w:type="paragraph" w:styleId="a5">
    <w:name w:val="List Paragraph"/>
    <w:basedOn w:val="a"/>
    <w:uiPriority w:val="34"/>
    <w:qFormat/>
    <w:rsid w:val="007F2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2525</Words>
  <Characters>14394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Левицкий</cp:lastModifiedBy>
  <cp:revision>7</cp:revision>
  <dcterms:created xsi:type="dcterms:W3CDTF">2024-05-20T04:36:00Z</dcterms:created>
  <dcterms:modified xsi:type="dcterms:W3CDTF">2024-11-01T11:10:00Z</dcterms:modified>
</cp:coreProperties>
</file>