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BD9F35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>
        <w:rPr>
          <w:rFonts w:ascii="Calibri" w:hAnsi="Calibri"/>
          <w:position w:val="0"/>
        </w:rPr>
        <w:drawing>
          <wp:inline distT="0" distB="0" distL="0" distR="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388F0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45E14DC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4E985BE9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31FE6B1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61A8CF46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15AABBE4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компетенции «</w:t>
      </w:r>
      <w:r>
        <w:rPr>
          <w:rFonts w:eastAsia="Times New Roman" w:cs="Times New Roman"/>
          <w:color w:val="000000"/>
          <w:sz w:val="40"/>
          <w:szCs w:val="40"/>
          <w:u w:val="single"/>
        </w:rPr>
        <w:t>НОГТЕВОЙ СЕРВИС</w:t>
      </w:r>
      <w:r>
        <w:rPr>
          <w:rFonts w:eastAsia="Times New Roman" w:cs="Times New Roman"/>
          <w:color w:val="000000"/>
          <w:sz w:val="48"/>
          <w:szCs w:val="48"/>
        </w:rPr>
        <w:t>»</w:t>
      </w:r>
    </w:p>
    <w:p w14:paraId="55198A38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F8FD952">
      <w:pPr>
        <w:spacing w:line="36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Итогового (межрегионального) этапа Чемпионата по профессиональному мастерству «Профессионалы»</w:t>
      </w:r>
    </w:p>
    <w:p w14:paraId="3AD37400">
      <w:pPr>
        <w:spacing w:line="36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в Оренбургской области</w:t>
      </w:r>
    </w:p>
    <w:p w14:paraId="3661162F">
      <w:pPr>
        <w:spacing w:line="360" w:lineRule="auto"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61818D24">
      <w:pPr>
        <w:spacing w:line="360" w:lineRule="auto"/>
        <w:jc w:val="center"/>
        <w:rPr>
          <w:rFonts w:eastAsia="Arial Unicode MS" w:cs="Times New Roman"/>
          <w:sz w:val="36"/>
          <w:szCs w:val="36"/>
        </w:rPr>
      </w:pPr>
    </w:p>
    <w:p w14:paraId="0E95C17C">
      <w:pPr>
        <w:spacing w:line="360" w:lineRule="auto"/>
        <w:jc w:val="center"/>
        <w:rPr>
          <w:rFonts w:eastAsia="Arial Unicode MS" w:cs="Times New Roman"/>
          <w:sz w:val="36"/>
          <w:szCs w:val="36"/>
        </w:rPr>
      </w:pPr>
      <w:r>
        <w:rPr>
          <w:rFonts w:eastAsia="Arial Unicode MS" w:cs="Times New Roman"/>
          <w:sz w:val="36"/>
          <w:szCs w:val="36"/>
          <w:lang w:val="ru-RU"/>
        </w:rPr>
        <w:t>Юниорский</w:t>
      </w:r>
      <w:r>
        <w:rPr>
          <w:rFonts w:eastAsia="Arial Unicode MS" w:cs="Times New Roman"/>
          <w:sz w:val="36"/>
          <w:szCs w:val="36"/>
        </w:rPr>
        <w:t xml:space="preserve"> состав</w:t>
      </w:r>
    </w:p>
    <w:p w14:paraId="3180314F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i/>
          <w:sz w:val="36"/>
          <w:szCs w:val="36"/>
        </w:rPr>
      </w:pPr>
    </w:p>
    <w:p w14:paraId="712C794F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48A6D125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4757E9E5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336648F2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4090A7EB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  <w:bookmarkStart w:id="8" w:name="_GoBack"/>
      <w:bookmarkEnd w:id="8"/>
    </w:p>
    <w:p w14:paraId="7CA790B4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2C6DE835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65D56212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66085C86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2224D2E6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424C46F0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7922437A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79D14538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78FEE94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5EBEC5F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2025 г.</w:t>
      </w:r>
    </w:p>
    <w:p w14:paraId="6807FB65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763973C6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55CC6FAA">
      <w:pPr>
        <w:keepNext/>
        <w:keepLines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14:paraId="563B5749">
          <w:p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r>
            <w:fldChar w:fldCharType="begin"/>
          </w:r>
          <w:r>
            <w:instrText xml:space="preserve"> HYPERLINK \l "_heading=h.30j0zll" \o "#_heading=h.30j0zll" </w:instrText>
          </w:r>
          <w:r>
            <w:fldChar w:fldCharType="separate"/>
          </w:r>
          <w:r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t>1. Область применения</w:t>
          </w:r>
          <w:r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fldChar w:fldCharType="end"/>
          </w:r>
          <w:r>
            <w:fldChar w:fldCharType="begin"/>
          </w:r>
          <w:r>
            <w:instrText xml:space="preserve"> HYPERLINK \l "_heading=h.30j0zll" \o "#_heading=h.30j0zll" </w:instrText>
          </w:r>
          <w:r>
            <w:fldChar w:fldCharType="separate"/>
          </w:r>
          <w:r>
            <w:rPr>
              <w:rFonts w:eastAsia="Times New Roman" w:cs="Times New Roman"/>
              <w:color w:val="000000"/>
              <w:sz w:val="28"/>
              <w:szCs w:val="28"/>
            </w:rPr>
            <w:tab/>
          </w:r>
          <w:r>
            <w:rPr>
              <w:rFonts w:eastAsia="Times New Roman" w:cs="Times New Roman"/>
              <w:color w:val="000000"/>
              <w:sz w:val="28"/>
              <w:szCs w:val="28"/>
            </w:rPr>
            <w:t>3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fldChar w:fldCharType="end"/>
          </w:r>
        </w:p>
        <w:p w14:paraId="435E8F45">
          <w:p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HYPERLINK \l "_heading=h.1fob9te" \o "#_heading=h.1fob9te" </w:instrText>
          </w:r>
          <w:r>
            <w:fldChar w:fldCharType="separate"/>
          </w:r>
          <w:r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t>2. Нормативные ссылки</w:t>
          </w:r>
          <w:r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fldChar w:fldCharType="end"/>
          </w:r>
          <w:r>
            <w:fldChar w:fldCharType="begin"/>
          </w:r>
          <w:r>
            <w:instrText xml:space="preserve"> HYPERLINK \l "_heading=h.1fob9te" \o "#_heading=h.1fob9te" </w:instrText>
          </w:r>
          <w:r>
            <w:fldChar w:fldCharType="separate"/>
          </w:r>
          <w:r>
            <w:rPr>
              <w:rFonts w:eastAsia="Times New Roman" w:cs="Times New Roman"/>
              <w:color w:val="000000"/>
              <w:sz w:val="28"/>
              <w:szCs w:val="28"/>
            </w:rPr>
            <w:tab/>
          </w:r>
          <w:r>
            <w:rPr>
              <w:rFonts w:eastAsia="Times New Roman" w:cs="Times New Roman"/>
              <w:color w:val="000000"/>
              <w:sz w:val="28"/>
              <w:szCs w:val="28"/>
            </w:rPr>
            <w:t>3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fldChar w:fldCharType="end"/>
          </w:r>
        </w:p>
        <w:p w14:paraId="6F59E7A0">
          <w:p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HYPERLINK \l "_heading=h.2et92p0" \o "#_heading=h.2et92p0" </w:instrText>
          </w:r>
          <w:r>
            <w:fldChar w:fldCharType="separate"/>
          </w:r>
          <w:r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t>3. Общие требования охраны труда</w:t>
          </w:r>
          <w:r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fldChar w:fldCharType="end"/>
          </w:r>
          <w:r>
            <w:t xml:space="preserve">                                                                                            </w:t>
          </w:r>
          <w:r>
            <w:fldChar w:fldCharType="begin"/>
          </w:r>
          <w:r>
            <w:instrText xml:space="preserve"> HYPERLINK \l "_heading=h.2et92p0" \o "#_heading=h.2et92p0" </w:instrText>
          </w:r>
          <w:r>
            <w:fldChar w:fldCharType="separate"/>
          </w:r>
          <w:r>
            <w:rPr>
              <w:rFonts w:eastAsia="Times New Roman" w:cs="Times New Roman"/>
              <w:color w:val="000000"/>
              <w:sz w:val="28"/>
              <w:szCs w:val="28"/>
            </w:rPr>
            <w:t>6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fldChar w:fldCharType="end"/>
          </w:r>
        </w:p>
        <w:p w14:paraId="3E5F0688">
          <w:p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HYPERLINK \l "_heading=h.tyjcwt" \o "#_heading=h.tyjcwt" </w:instrText>
          </w:r>
          <w:r>
            <w:fldChar w:fldCharType="separate"/>
          </w:r>
          <w:r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t>4. Требования охраны труда перед началом работы</w:t>
          </w:r>
          <w:r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fldChar w:fldCharType="end"/>
          </w:r>
          <w:r>
            <w:t xml:space="preserve">                                                          </w:t>
          </w:r>
          <w:r>
            <w:fldChar w:fldCharType="begin"/>
          </w:r>
          <w:r>
            <w:instrText xml:space="preserve"> HYPERLINK \l "_heading=h.tyjcwt" \o "#_heading=h.tyjcwt" </w:instrText>
          </w:r>
          <w:r>
            <w:fldChar w:fldCharType="separate"/>
          </w:r>
          <w:r>
            <w:rPr>
              <w:rFonts w:eastAsia="Times New Roman" w:cs="Times New Roman"/>
              <w:color w:val="000000"/>
              <w:sz w:val="28"/>
              <w:szCs w:val="28"/>
            </w:rPr>
            <w:t>11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fldChar w:fldCharType="end"/>
          </w:r>
        </w:p>
        <w:p w14:paraId="75EA4CAC">
          <w:p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HYPERLINK \l "_heading=h.3dy6vkm" \o "#_heading=h.3dy6vkm" </w:instrText>
          </w:r>
          <w:r>
            <w:fldChar w:fldCharType="separate"/>
          </w:r>
          <w:r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t>5. Требования охраны труда во время работы</w:t>
          </w:r>
          <w:r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fldChar w:fldCharType="end"/>
          </w:r>
          <w:r>
            <w:t xml:space="preserve">                                                                      </w:t>
          </w:r>
          <w:r>
            <w:fldChar w:fldCharType="begin"/>
          </w:r>
          <w:r>
            <w:instrText xml:space="preserve"> HYPERLINK \l "_heading=h.3dy6vkm" \o "#_heading=h.3dy6vkm" </w:instrText>
          </w:r>
          <w:r>
            <w:fldChar w:fldCharType="separate"/>
          </w:r>
          <w:r>
            <w:rPr>
              <w:rFonts w:eastAsia="Times New Roman" w:cs="Times New Roman"/>
              <w:color w:val="000000"/>
              <w:sz w:val="28"/>
              <w:szCs w:val="28"/>
            </w:rPr>
            <w:t>16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fldChar w:fldCharType="end"/>
          </w:r>
        </w:p>
        <w:p w14:paraId="67D3142A">
          <w:p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HYPERLINK \l "_heading=h.1t3h5sf" \o "#_heading=h.1t3h5sf" </w:instrText>
          </w:r>
          <w:r>
            <w:fldChar w:fldCharType="separate"/>
          </w:r>
          <w:r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t>6. Требования охраны труда в аварийных ситуациях</w:t>
          </w:r>
          <w:r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fldChar w:fldCharType="end"/>
          </w:r>
          <w:r>
            <w:t xml:space="preserve">                                                        </w:t>
          </w:r>
          <w:r>
            <w:fldChar w:fldCharType="begin"/>
          </w:r>
          <w:r>
            <w:instrText xml:space="preserve"> HYPERLINK \l "_heading=h.1t3h5sf" \o "#_heading=h.1t3h5sf" </w:instrText>
          </w:r>
          <w:r>
            <w:fldChar w:fldCharType="separate"/>
          </w:r>
          <w:r>
            <w:rPr>
              <w:rFonts w:eastAsia="Times New Roman" w:cs="Times New Roman"/>
              <w:color w:val="000000"/>
              <w:sz w:val="28"/>
              <w:szCs w:val="28"/>
            </w:rPr>
            <w:t>18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fldChar w:fldCharType="end"/>
          </w:r>
        </w:p>
        <w:p w14:paraId="63561D60">
          <w:p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HYPERLINK \l "_heading=h.4d34og8" \o "#_heading=h.4d34og8" </w:instrText>
          </w:r>
          <w:r>
            <w:fldChar w:fldCharType="separate"/>
          </w:r>
          <w:r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t>7. Требования охраны труда по окончании работы</w:t>
          </w:r>
          <w:r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fldChar w:fldCharType="end"/>
          </w:r>
          <w:r>
            <w:fldChar w:fldCharType="begin"/>
          </w:r>
          <w:r>
            <w:instrText xml:space="preserve"> HYPERLINK \l "_heading=h.4d34og8" \o "#_heading=h.4d34og8" </w:instrText>
          </w:r>
          <w:r>
            <w:fldChar w:fldCharType="separate"/>
          </w:r>
          <w:r>
            <w:rPr>
              <w:rFonts w:eastAsia="Times New Roman" w:cs="Times New Roman"/>
              <w:color w:val="000000"/>
              <w:sz w:val="28"/>
              <w:szCs w:val="28"/>
            </w:rPr>
            <w:tab/>
          </w:r>
          <w:r>
            <w:rPr>
              <w:rFonts w:eastAsia="Times New Roman" w:cs="Times New Roman"/>
              <w:color w:val="000000"/>
              <w:sz w:val="28"/>
              <w:szCs w:val="28"/>
            </w:rPr>
            <w:t>20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fldChar w:fldCharType="end"/>
          </w:r>
          <w:r>
            <w:fldChar w:fldCharType="end"/>
          </w:r>
        </w:p>
      </w:sdtContent>
    </w:sdt>
    <w:p w14:paraId="799AE465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rPr>
          <w:rFonts w:eastAsia="Times New Roman" w:cs="Times New Roman"/>
          <w:color w:val="000000"/>
        </w:rPr>
      </w:pPr>
    </w:p>
    <w:p w14:paraId="428AA2E5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53D8FC52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4FA6E75B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42D186A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1AE9F320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70B5B1A4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39358BE0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5B300A6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3E4B650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765CF17A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104886F6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1D4A2A1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064239B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21CD6C9F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07AA7261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7CBD9826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34E96A82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4B65FCA2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1058166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308FACC4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49261518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7E4E101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717737DC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189CBCA8">
      <w:pPr>
        <w:keepNext/>
        <w:keepLines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rPr/>
        <w:br w:type="page" w:clear="all"/>
      </w:r>
    </w:p>
    <w:p w14:paraId="06A3E149">
      <w:pPr>
        <w:keepNext/>
        <w:keepLines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t>1. Область применения</w:t>
      </w:r>
    </w:p>
    <w:p w14:paraId="71798801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конкурсантов Итогового (межрегионального) этапа Чемпионата по профессиональному мастерству «Профессионалы» 2025 г. (далее Чемпионата).</w:t>
      </w:r>
    </w:p>
    <w:p w14:paraId="7CCFDEB4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Итогового (межрегионального) этапа Чемпионата по профессиональному мастерству «Профессионалы» в 2025 г. компетенции «ногтевой сервис». </w:t>
      </w:r>
    </w:p>
    <w:p w14:paraId="116A10AD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3F9D8083">
      <w:pPr>
        <w:keepNext/>
        <w:keepLines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5B878853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6EEC824A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294D243F">
      <w:pPr>
        <w:pStyle w:val="205"/>
        <w:tabs>
          <w:tab w:val="left" w:pos="511"/>
        </w:tabs>
        <w:spacing w:line="240" w:lineRule="auto"/>
        <w:ind w:left="0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2.1.2. </w:t>
      </w:r>
      <w:r>
        <w:rPr>
          <w:rFonts w:cs="Times New Roman"/>
          <w:sz w:val="28"/>
          <w:szCs w:val="28"/>
        </w:rPr>
        <w:t xml:space="preserve">ФГОС СПО 43.02.17 Технологии индустрии красоты (Утвержден Министерством просвещения РФ </w:t>
      </w:r>
      <w:r>
        <w:rPr>
          <w:rFonts w:cs="Times New Roman"/>
          <w:bCs/>
          <w:sz w:val="28"/>
          <w:szCs w:val="28"/>
          <w:shd w:val="clear" w:color="auto" w:fill="FFFFFF"/>
        </w:rPr>
        <w:t xml:space="preserve">от 26 августа 2022 г. N 775);   </w:t>
      </w:r>
    </w:p>
    <w:p w14:paraId="2B8BDCDC">
      <w:pPr>
        <w:tabs>
          <w:tab w:val="left" w:pos="511"/>
        </w:tabs>
        <w:spacing w:line="240" w:lineRule="auto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2.1.3. Национальный стандарт РФ (ГОСТ Р 58091-2018г; ГОСТ Р 51142-2019г) (утвержден и введен в действие </w:t>
      </w:r>
      <w:r>
        <w:fldChar w:fldCharType="begin"/>
      </w:r>
      <w:r>
        <w:instrText xml:space="preserve"> HYPERLINK "https://docs.cntd.ru/document/560658330" \l "7D20K3" </w:instrText>
      </w:r>
      <w:r>
        <w:fldChar w:fldCharType="separate"/>
      </w:r>
      <w:r>
        <w:rPr>
          <w:rStyle w:val="16"/>
          <w:rFonts w:cs="Times New Roman"/>
          <w:sz w:val="28"/>
          <w:szCs w:val="28"/>
          <w:shd w:val="clear" w:color="auto" w:fill="FFFFFF"/>
        </w:rPr>
        <w:t>Приказом Федерального агентства по техническому регулированию и метрологии от 27 марта 2019 г. N 105-ст</w:t>
      </w:r>
      <w:r>
        <w:rPr>
          <w:rStyle w:val="16"/>
          <w:rFonts w:cs="Times New Roman"/>
          <w:sz w:val="28"/>
          <w:szCs w:val="28"/>
          <w:shd w:val="clear" w:color="auto" w:fill="FFFFFF"/>
        </w:rPr>
        <w:fldChar w:fldCharType="end"/>
      </w:r>
      <w:r>
        <w:rPr>
          <w:rFonts w:cs="Times New Roman"/>
          <w:sz w:val="28"/>
          <w:szCs w:val="28"/>
        </w:rPr>
        <w:t>) ;</w:t>
      </w:r>
    </w:p>
    <w:p w14:paraId="042D0984">
      <w:pPr>
        <w:pStyle w:val="205"/>
        <w:numPr>
          <w:ilvl w:val="2"/>
          <w:numId w:val="1"/>
        </w:numPr>
        <w:tabs>
          <w:tab w:val="left" w:pos="511"/>
        </w:tabs>
        <w:spacing w:line="240" w:lineRule="auto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shd w:val="clear" w:color="auto" w:fill="FFFFFF"/>
        </w:rPr>
        <w:t xml:space="preserve">Национальный стандарт РФ ГОСТ Р 50646-2012 «Услуги населению». Термины и определения» (утвержден и введен в действие </w:t>
      </w:r>
      <w:r>
        <w:fldChar w:fldCharType="begin"/>
      </w:r>
      <w:r>
        <w:instrText xml:space="preserve"> HYPERLINK "https://docs.cntd.ru/document/499044930" </w:instrText>
      </w:r>
      <w:r>
        <w:fldChar w:fldCharType="separate"/>
      </w:r>
      <w:r>
        <w:rPr>
          <w:rStyle w:val="16"/>
          <w:rFonts w:cs="Times New Roman"/>
          <w:sz w:val="28"/>
          <w:szCs w:val="28"/>
          <w:shd w:val="clear" w:color="auto" w:fill="FFFFFF"/>
        </w:rPr>
        <w:t>Приказом Федерального агентства по техническому регулированию и метрологии от 29 ноября 2012 г. N  1612-ст</w:t>
      </w:r>
      <w:r>
        <w:rPr>
          <w:rStyle w:val="16"/>
          <w:rFonts w:cs="Times New Roman"/>
          <w:sz w:val="28"/>
          <w:szCs w:val="28"/>
          <w:shd w:val="clear" w:color="auto" w:fill="FFFFFF"/>
        </w:rPr>
        <w:fldChar w:fldCharType="end"/>
      </w:r>
      <w:r>
        <w:rPr>
          <w:rFonts w:cs="Times New Roman"/>
          <w:sz w:val="28"/>
          <w:szCs w:val="28"/>
        </w:rPr>
        <w:t xml:space="preserve">);            </w:t>
      </w:r>
    </w:p>
    <w:p w14:paraId="020DB7B1">
      <w:pPr>
        <w:pStyle w:val="205"/>
        <w:numPr>
          <w:ilvl w:val="2"/>
          <w:numId w:val="1"/>
        </w:numPr>
        <w:tabs>
          <w:tab w:val="left" w:pos="511"/>
        </w:tabs>
        <w:spacing w:line="240" w:lineRule="auto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shd w:val="clear" w:color="auto" w:fill="FFFFFF"/>
        </w:rPr>
        <w:t xml:space="preserve">Национальный стандарт-Разработчик ГОСТ Р52113 «Услуги населению. Номенклатура показателей качества услуг» (утвержден и введен в действие </w:t>
      </w:r>
      <w:r>
        <w:fldChar w:fldCharType="begin"/>
      </w:r>
      <w:r>
        <w:instrText xml:space="preserve"> HYPERLINK "https://docs.cntd.ru/document/420270595" </w:instrText>
      </w:r>
      <w:r>
        <w:fldChar w:fldCharType="separate"/>
      </w:r>
      <w:r>
        <w:rPr>
          <w:rStyle w:val="16"/>
          <w:rFonts w:cs="Times New Roman"/>
          <w:sz w:val="28"/>
          <w:szCs w:val="28"/>
          <w:shd w:val="clear" w:color="auto" w:fill="FFFFFF"/>
        </w:rPr>
        <w:t>Приказом Федерального агентства по техническому регулированию и метрологии от 6 ноября 2014 г. N 1482-ст</w:t>
      </w:r>
      <w:r>
        <w:rPr>
          <w:rStyle w:val="16"/>
          <w:rFonts w:cs="Times New Roman"/>
          <w:sz w:val="28"/>
          <w:szCs w:val="28"/>
          <w:shd w:val="clear" w:color="auto" w:fill="FFFFFF"/>
        </w:rPr>
        <w:fldChar w:fldCharType="end"/>
      </w:r>
      <w:r>
        <w:rPr>
          <w:rFonts w:cs="Times New Roman"/>
          <w:sz w:val="28"/>
          <w:szCs w:val="28"/>
        </w:rPr>
        <w:t xml:space="preserve">)                </w:t>
      </w:r>
    </w:p>
    <w:p w14:paraId="172F44AF">
      <w:pPr>
        <w:pStyle w:val="205"/>
        <w:numPr>
          <w:ilvl w:val="2"/>
          <w:numId w:val="1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Профессиональный стандарт "Специалист по предоставлению маникюрных и педикюрных услуг" (Зарегистрировано в Минюсте России 22.01.2015 N 35647);</w:t>
      </w:r>
    </w:p>
    <w:p w14:paraId="2EE56DDE">
      <w:pPr>
        <w:pStyle w:val="205"/>
        <w:numPr>
          <w:ilvl w:val="2"/>
          <w:numId w:val="1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Межгосударственный стандарт «Услуги бытовые. Классификация организаций» ГОСТ 32610-2014. (принят </w:t>
      </w:r>
      <w:r>
        <w:rPr>
          <w:rFonts w:cs="Times New Roman"/>
          <w:sz w:val="28"/>
          <w:szCs w:val="28"/>
          <w:shd w:val="clear" w:color="auto" w:fill="FFFFFF"/>
        </w:rPr>
        <w:t xml:space="preserve">Межгосударственным советом по стандартизации, метрологии и сертификации (протокол от 27 февраля 2014 г. N 64-П) , введен в действие </w:t>
      </w:r>
      <w:r>
        <w:fldChar w:fldCharType="begin"/>
      </w:r>
      <w:r>
        <w:instrText xml:space="preserve"> HYPERLINK "https://docs.cntd.ru/document/420212883" </w:instrText>
      </w:r>
      <w:r>
        <w:fldChar w:fldCharType="separate"/>
      </w:r>
      <w:r>
        <w:rPr>
          <w:rStyle w:val="16"/>
          <w:rFonts w:cs="Times New Roman"/>
          <w:sz w:val="28"/>
          <w:szCs w:val="28"/>
          <w:shd w:val="clear" w:color="auto" w:fill="FFFFFF"/>
        </w:rPr>
        <w:t>Приказом Федерального агентства по техническому регулированию и метрологии от 26 марта 2014 г. N 231-ст</w:t>
      </w:r>
      <w:r>
        <w:rPr>
          <w:rStyle w:val="16"/>
          <w:rFonts w:cs="Times New Roman"/>
          <w:sz w:val="28"/>
          <w:szCs w:val="28"/>
          <w:shd w:val="clear" w:color="auto" w:fill="FFFFFF"/>
        </w:rPr>
        <w:fldChar w:fldCharType="end"/>
      </w:r>
      <w:r>
        <w:rPr>
          <w:rFonts w:cs="Times New Roman"/>
          <w:sz w:val="28"/>
          <w:szCs w:val="28"/>
        </w:rPr>
        <w:t xml:space="preserve"> от 01.01.2016г);</w:t>
      </w:r>
    </w:p>
    <w:p w14:paraId="4766373D">
      <w:pPr>
        <w:pStyle w:val="205"/>
        <w:numPr>
          <w:ilvl w:val="2"/>
          <w:numId w:val="2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ГОСТ Р 70820-2023 Национальный стандарт РФ. Услуги бытовые. От 18.07.2023 (приказ Федерального агенства по техническому регулированию и метрологии№551-ст). </w:t>
      </w:r>
    </w:p>
    <w:p w14:paraId="5DF0DA90">
      <w:pPr>
        <w:pStyle w:val="205"/>
        <w:numPr>
          <w:ilvl w:val="2"/>
          <w:numId w:val="2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ГОСТ Р 55321-2023 Национальный стандарт РФ. Услуги населению. СПА- услуги. от 18.07.2023 (приказ Федерального агенства по техническому регулированию и метрологии№555-ст)</w:t>
      </w:r>
    </w:p>
    <w:p w14:paraId="4C14678F">
      <w:pPr>
        <w:pStyle w:val="205"/>
        <w:numPr>
          <w:ilvl w:val="2"/>
          <w:numId w:val="2"/>
        </w:numPr>
        <w:tabs>
          <w:tab w:val="left" w:pos="511"/>
          <w:tab w:val="left" w:pos="709"/>
        </w:tabs>
        <w:spacing w:line="240" w:lineRule="auto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Правила Бытового обслуживания (</w:t>
      </w:r>
      <w:r>
        <w:fldChar w:fldCharType="begin"/>
      </w:r>
      <w:r>
        <w:instrText xml:space="preserve"> HYPERLINK "http://www.consultant.ru/document/cons_doc_LAW_363382/" </w:instrText>
      </w:r>
      <w:r>
        <w:fldChar w:fldCharType="separate"/>
      </w:r>
      <w:r>
        <w:rPr>
          <w:rStyle w:val="16"/>
          <w:rFonts w:cs="Times New Roman"/>
          <w:bCs/>
          <w:sz w:val="28"/>
          <w:szCs w:val="28"/>
          <w:shd w:val="clear" w:color="auto" w:fill="FFFFFF"/>
        </w:rPr>
        <w:t>Постановление Правительства РФ от 21.09.2020 N 1514 "Об утверждении Правил бытового обслуживания населения"</w:t>
      </w:r>
      <w:r>
        <w:rPr>
          <w:rStyle w:val="16"/>
          <w:rFonts w:cs="Times New Roman"/>
          <w:bCs/>
          <w:sz w:val="28"/>
          <w:szCs w:val="28"/>
          <w:shd w:val="clear" w:color="auto" w:fill="FFFFFF"/>
        </w:rPr>
        <w:fldChar w:fldCharType="end"/>
      </w:r>
      <w:r>
        <w:rPr>
          <w:rFonts w:cs="Times New Roman"/>
          <w:sz w:val="28"/>
          <w:szCs w:val="28"/>
        </w:rPr>
        <w:t xml:space="preserve">); </w:t>
      </w:r>
    </w:p>
    <w:p w14:paraId="133FB75B">
      <w:pPr>
        <w:pStyle w:val="205"/>
        <w:numPr>
          <w:ilvl w:val="2"/>
          <w:numId w:val="2"/>
        </w:numPr>
        <w:tabs>
          <w:tab w:val="left" w:pos="511"/>
          <w:tab w:val="left" w:pos="709"/>
        </w:tabs>
        <w:spacing w:line="240" w:lineRule="auto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Закон о защите прав потребителей (Закон РФ от 07.02.1992 N 2300-1 (ред. от 05.12.2022) "О защите прав потребителей") </w:t>
      </w:r>
    </w:p>
    <w:p w14:paraId="28A4944B">
      <w:pPr>
        <w:pStyle w:val="205"/>
        <w:numPr>
          <w:ilvl w:val="2"/>
          <w:numId w:val="2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Санитарные нормы (Главный Государственный Санитарный Врач РФ постановление  от 24.12.2020г № 44   </w:t>
      </w:r>
      <w:r>
        <w:rPr>
          <w:rFonts w:cs="Times New Roman"/>
          <w:bCs/>
          <w:sz w:val="28"/>
          <w:szCs w:val="28"/>
        </w:rPr>
        <w:t>Об утверждении </w:t>
      </w:r>
      <w:r>
        <w:fldChar w:fldCharType="begin"/>
      </w:r>
      <w:r>
        <w:instrText xml:space="preserve"> HYPERLINK "https://docs.cntd.ru/document/573275590" \l "6560IO" </w:instrText>
      </w:r>
      <w:r>
        <w:fldChar w:fldCharType="separate"/>
      </w:r>
      <w:r>
        <w:rPr>
          <w:rStyle w:val="16"/>
          <w:rFonts w:cs="Times New Roman"/>
          <w:bCs/>
          <w:sz w:val="28"/>
          <w:szCs w:val="28"/>
        </w:rPr>
        <w:t>санитарных правил СП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</w:r>
      <w:r>
        <w:rPr>
          <w:rStyle w:val="16"/>
          <w:rFonts w:cs="Times New Roman"/>
          <w:bCs/>
          <w:sz w:val="28"/>
          <w:szCs w:val="28"/>
        </w:rPr>
        <w:fldChar w:fldCharType="end"/>
      </w:r>
      <w:r>
        <w:rPr>
          <w:rFonts w:cs="Times New Roman"/>
          <w:sz w:val="28"/>
          <w:szCs w:val="28"/>
        </w:rPr>
        <w:t>(с изменениями на 14 апреля 2022 года)</w:t>
      </w:r>
    </w:p>
    <w:p w14:paraId="0E2075A6">
      <w:pPr>
        <w:pStyle w:val="205"/>
        <w:numPr>
          <w:ilvl w:val="2"/>
          <w:numId w:val="2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Технический регламент Таможенного союза </w:t>
      </w:r>
      <w:r>
        <w:fldChar w:fldCharType="begin"/>
      </w:r>
      <w:r>
        <w:instrText xml:space="preserve"> HYPERLINK "https://docs.cntd.ru/document/902303206" </w:instrText>
      </w:r>
      <w:r>
        <w:fldChar w:fldCharType="separate"/>
      </w:r>
      <w:r>
        <w:rPr>
          <w:rStyle w:val="16"/>
          <w:rFonts w:cs="Times New Roman"/>
          <w:sz w:val="28"/>
          <w:szCs w:val="28"/>
        </w:rPr>
        <w:t>ТР ТС 009/2011</w:t>
      </w:r>
      <w:r>
        <w:rPr>
          <w:rStyle w:val="16"/>
          <w:rFonts w:cs="Times New Roman"/>
          <w:sz w:val="28"/>
          <w:szCs w:val="28"/>
        </w:rPr>
        <w:fldChar w:fldCharType="end"/>
      </w:r>
      <w:r>
        <w:rPr>
          <w:rFonts w:cs="Times New Roman"/>
          <w:sz w:val="28"/>
          <w:szCs w:val="28"/>
        </w:rPr>
        <w:t xml:space="preserve"> (</w:t>
      </w:r>
      <w:r>
        <w:fldChar w:fldCharType="begin"/>
      </w:r>
      <w:r>
        <w:instrText xml:space="preserve"> HYPERLINK "http://www.eurasiancommission.org/_layouts/Lanit.EEC.Desicions/Download.aspx?IsDlg=0&amp;ID=1286&amp;print=1" </w:instrText>
      </w:r>
      <w:r>
        <w:fldChar w:fldCharType="separate"/>
      </w:r>
      <w:r>
        <w:rPr>
          <w:rStyle w:val="16"/>
          <w:rFonts w:cs="Times New Roman"/>
          <w:sz w:val="28"/>
          <w:szCs w:val="28"/>
          <w:shd w:val="clear" w:color="auto" w:fill="FFFFFF"/>
        </w:rPr>
        <w:t>Решение Комиссии Таможенного союза от 23 сентября 2011 г.  № 799</w:t>
      </w:r>
      <w:r>
        <w:rPr>
          <w:rStyle w:val="16"/>
          <w:rFonts w:cs="Times New Roman"/>
          <w:sz w:val="28"/>
          <w:szCs w:val="28"/>
          <w:shd w:val="clear" w:color="auto" w:fill="FFFFFF"/>
        </w:rPr>
        <w:fldChar w:fldCharType="end"/>
      </w:r>
      <w:r>
        <w:rPr>
          <w:rFonts w:cs="Times New Roman"/>
          <w:sz w:val="28"/>
          <w:szCs w:val="28"/>
        </w:rPr>
        <w:t xml:space="preserve"> -</w:t>
      </w:r>
      <w:r>
        <w:fldChar w:fldCharType="begin"/>
      </w:r>
      <w:r>
        <w:instrText xml:space="preserve"> HYPERLINK "https://docs.cntd.ru/document/902303206" </w:instrText>
      </w:r>
      <w:r>
        <w:fldChar w:fldCharType="separate"/>
      </w:r>
      <w:r>
        <w:rPr>
          <w:rStyle w:val="16"/>
          <w:rFonts w:cs="Times New Roman"/>
          <w:sz w:val="28"/>
          <w:szCs w:val="28"/>
        </w:rPr>
        <w:t>О безопасности парфюмерно-косметической продукции</w:t>
      </w:r>
      <w:r>
        <w:rPr>
          <w:rStyle w:val="16"/>
          <w:rFonts w:cs="Times New Roman"/>
          <w:sz w:val="28"/>
          <w:szCs w:val="28"/>
        </w:rPr>
        <w:fldChar w:fldCharType="end"/>
      </w:r>
      <w:r>
        <w:rPr>
          <w:rFonts w:cs="Times New Roman"/>
          <w:sz w:val="28"/>
          <w:szCs w:val="28"/>
        </w:rPr>
        <w:t>);</w:t>
      </w:r>
    </w:p>
    <w:p w14:paraId="0A79E850">
      <w:pPr>
        <w:pStyle w:val="205"/>
        <w:numPr>
          <w:ilvl w:val="2"/>
          <w:numId w:val="2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Федеральный закон №52-ФЗ от 30 марта 1999г (О санитарно-эпидемиологическом благополучии населения);</w:t>
      </w:r>
    </w:p>
    <w:p w14:paraId="0AB9FD47">
      <w:pPr>
        <w:pStyle w:val="205"/>
        <w:numPr>
          <w:ilvl w:val="2"/>
          <w:numId w:val="2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>
        <w:fldChar w:fldCharType="begin"/>
      </w:r>
      <w:r>
        <w:instrText xml:space="preserve"> HYPERLINK "https://docs.cntd.ru/document/1200086226" </w:instrText>
      </w:r>
      <w:r>
        <w:fldChar w:fldCharType="separate"/>
      </w:r>
      <w:r>
        <w:rPr>
          <w:rStyle w:val="16"/>
          <w:rFonts w:cs="Times New Roman"/>
          <w:sz w:val="28"/>
          <w:szCs w:val="28"/>
        </w:rPr>
        <w:t>МУ 3.5.2644-10</w:t>
      </w:r>
      <w:r>
        <w:rPr>
          <w:rStyle w:val="16"/>
          <w:rFonts w:cs="Times New Roman"/>
          <w:sz w:val="28"/>
          <w:szCs w:val="28"/>
        </w:rPr>
        <w:fldChar w:fldCharType="end"/>
      </w:r>
      <w:r>
        <w:rPr>
          <w:rFonts w:cs="Times New Roman"/>
          <w:sz w:val="28"/>
          <w:szCs w:val="28"/>
        </w:rPr>
        <w:t xml:space="preserve"> «Методические указания. 3.5 Дезинфектология» (Организация и проведение дезинфекционных мероприятий при дерматомикозах. </w:t>
      </w:r>
      <w:r>
        <w:rPr>
          <w:rFonts w:eastAsia="Times New Roman" w:cs="Times New Roman"/>
          <w:sz w:val="28"/>
          <w:szCs w:val="28"/>
        </w:rPr>
        <w:t>Рекомендованы к утверждению Комиссией по государственному санитарно-эпидемиологическому нормированию при Федеральной службе по надзору в сфере защиты прав потребителей и благополучия человека</w:t>
      </w:r>
    </w:p>
    <w:p w14:paraId="564AD7B6">
      <w:pPr>
        <w:shd w:val="clear" w:color="auto" w:fill="FFFFFF"/>
        <w:tabs>
          <w:tab w:val="left" w:pos="511"/>
        </w:tabs>
        <w:spacing w:line="240" w:lineRule="auto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(протокол от 3.12.09 № 3).</w:t>
      </w:r>
    </w:p>
    <w:p w14:paraId="48B8B416">
      <w:pPr>
        <w:pStyle w:val="205"/>
        <w:numPr>
          <w:ilvl w:val="2"/>
          <w:numId w:val="2"/>
        </w:numPr>
        <w:tabs>
          <w:tab w:val="left" w:pos="511"/>
        </w:tabs>
        <w:spacing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Технический регламент Таможенного союза </w:t>
      </w:r>
      <w:r>
        <w:fldChar w:fldCharType="begin"/>
      </w:r>
      <w:r>
        <w:instrText xml:space="preserve"> HYPERLINK "https://docs.cntd.ru/document/902299536" </w:instrText>
      </w:r>
      <w:r>
        <w:fldChar w:fldCharType="separate"/>
      </w:r>
      <w:r>
        <w:rPr>
          <w:rStyle w:val="16"/>
          <w:rFonts w:cs="Times New Roman"/>
          <w:sz w:val="28"/>
          <w:szCs w:val="28"/>
        </w:rPr>
        <w:t>ТР ТС 004/2011</w:t>
      </w:r>
      <w:r>
        <w:rPr>
          <w:rStyle w:val="16"/>
          <w:rFonts w:cs="Times New Roman"/>
          <w:sz w:val="28"/>
          <w:szCs w:val="28"/>
        </w:rPr>
        <w:fldChar w:fldCharType="end"/>
      </w:r>
      <w:r>
        <w:rPr>
          <w:rFonts w:cs="Times New Roman"/>
          <w:sz w:val="28"/>
          <w:szCs w:val="28"/>
        </w:rPr>
        <w:t xml:space="preserve"> (</w:t>
      </w:r>
      <w:r>
        <w:fldChar w:fldCharType="begin"/>
      </w:r>
      <w:r>
        <w:instrText xml:space="preserve"> HYPERLINK "https://docs.cntd.ru/document/902299536" \l "7D20K3" </w:instrText>
      </w:r>
      <w:r>
        <w:fldChar w:fldCharType="separate"/>
      </w:r>
      <w:r>
        <w:rPr>
          <w:rStyle w:val="16"/>
          <w:rFonts w:cs="Times New Roman"/>
          <w:sz w:val="28"/>
          <w:szCs w:val="28"/>
        </w:rPr>
        <w:t>О безопасности низковольтного оборудования</w:t>
      </w:r>
      <w:r>
        <w:rPr>
          <w:rStyle w:val="16"/>
          <w:rFonts w:cs="Times New Roman"/>
          <w:sz w:val="28"/>
          <w:szCs w:val="28"/>
        </w:rPr>
        <w:fldChar w:fldCharType="end"/>
      </w:r>
      <w:r>
        <w:rPr>
          <w:rStyle w:val="16"/>
          <w:rFonts w:cs="Times New Roman"/>
          <w:sz w:val="28"/>
          <w:szCs w:val="28"/>
        </w:rPr>
        <w:t xml:space="preserve">. </w:t>
      </w:r>
      <w:r>
        <w:rPr>
          <w:rFonts w:cs="Times New Roman"/>
          <w:sz w:val="28"/>
          <w:szCs w:val="28"/>
        </w:rPr>
        <w:t xml:space="preserve">Утвержден </w:t>
      </w:r>
      <w:r>
        <w:fldChar w:fldCharType="begin"/>
      </w:r>
      <w:r>
        <w:instrText xml:space="preserve"> HYPERLINK "https://docs.cntd.ru/document/902298070" \l "7DG0K9" </w:instrText>
      </w:r>
      <w:r>
        <w:fldChar w:fldCharType="separate"/>
      </w:r>
      <w:r>
        <w:rPr>
          <w:rStyle w:val="16"/>
          <w:rFonts w:cs="Times New Roman"/>
          <w:sz w:val="28"/>
          <w:szCs w:val="28"/>
        </w:rPr>
        <w:t>Решением Комиссии Таможенного союза от 16 августа 2011 года N 768</w:t>
      </w:r>
      <w:r>
        <w:rPr>
          <w:rStyle w:val="16"/>
          <w:rFonts w:cs="Times New Roman"/>
          <w:sz w:val="28"/>
          <w:szCs w:val="28"/>
        </w:rPr>
        <w:fldChar w:fldCharType="end"/>
      </w:r>
      <w:r>
        <w:rPr>
          <w:rFonts w:cs="Times New Roman"/>
          <w:sz w:val="28"/>
          <w:szCs w:val="28"/>
        </w:rPr>
        <w:t>);</w:t>
      </w:r>
    </w:p>
    <w:p w14:paraId="44CD31D2">
      <w:pPr>
        <w:pStyle w:val="205"/>
        <w:numPr>
          <w:ilvl w:val="2"/>
          <w:numId w:val="2"/>
        </w:numPr>
        <w:tabs>
          <w:tab w:val="left" w:pos="511"/>
          <w:tab w:val="left" w:pos="709"/>
        </w:tabs>
        <w:spacing w:line="240" w:lineRule="auto"/>
        <w:jc w:val="both"/>
        <w:outlineLvl w:val="9"/>
        <w:rPr>
          <w:rFonts w:cs="Times New Roman"/>
          <w:sz w:val="28"/>
          <w:szCs w:val="28"/>
        </w:rPr>
      </w:pPr>
      <w:r>
        <w:fldChar w:fldCharType="begin"/>
      </w:r>
      <w:r>
        <w:instrText xml:space="preserve"> HYPERLINK "https://docs.cntd.ru/document/1200031410" </w:instrText>
      </w:r>
      <w:r>
        <w:fldChar w:fldCharType="separate"/>
      </w:r>
      <w:r>
        <w:rPr>
          <w:rStyle w:val="16"/>
          <w:rFonts w:cs="Times New Roman"/>
          <w:sz w:val="28"/>
          <w:szCs w:val="28"/>
        </w:rPr>
        <w:t>МУ 287-113</w:t>
      </w:r>
      <w:r>
        <w:rPr>
          <w:rStyle w:val="16"/>
          <w:rFonts w:cs="Times New Roman"/>
          <w:sz w:val="28"/>
          <w:szCs w:val="28"/>
        </w:rPr>
        <w:fldChar w:fldCharType="end"/>
      </w:r>
      <w:r>
        <w:rPr>
          <w:rStyle w:val="16"/>
          <w:rFonts w:cs="Times New Roman"/>
          <w:sz w:val="28"/>
          <w:szCs w:val="28"/>
        </w:rPr>
        <w:t>,</w:t>
      </w:r>
      <w:r>
        <w:rPr>
          <w:rFonts w:cs="Times New Roman"/>
          <w:sz w:val="28"/>
          <w:szCs w:val="28"/>
        </w:rPr>
        <w:t xml:space="preserve"> Методические указания, утверждены Департаментом Госсанэпиднадзора Минздрава России 30 декабря 1998 г. (Методические указания по дезинфекции, пред стерилизационной очистке и стерилизации изделий медицинского назначения. Утверждены Руководителем Департамента госсанэпиднадзора Минздрава России А.А.МОНИСОВ 30 декабря 1998 г.); </w:t>
      </w:r>
    </w:p>
    <w:p w14:paraId="11DC1418">
      <w:pPr>
        <w:pStyle w:val="205"/>
        <w:numPr>
          <w:ilvl w:val="2"/>
          <w:numId w:val="2"/>
        </w:numPr>
        <w:tabs>
          <w:tab w:val="left" w:pos="511"/>
          <w:tab w:val="left" w:pos="709"/>
        </w:tabs>
        <w:spacing w:line="240" w:lineRule="auto"/>
        <w:jc w:val="both"/>
        <w:outlineLvl w:val="9"/>
        <w:rPr>
          <w:rFonts w:cs="Times New Roman"/>
          <w:sz w:val="28"/>
          <w:szCs w:val="28"/>
        </w:rPr>
      </w:pPr>
      <w:r>
        <w:fldChar w:fldCharType="begin"/>
      </w:r>
      <w:r>
        <w:instrText xml:space="preserve"> HYPERLINK "https://docs.cntd.ru/document/902275195" </w:instrText>
      </w:r>
      <w:r>
        <w:fldChar w:fldCharType="separate"/>
      </w:r>
      <w:r>
        <w:rPr>
          <w:rStyle w:val="16"/>
          <w:rFonts w:cs="Times New Roman"/>
          <w:sz w:val="28"/>
          <w:szCs w:val="28"/>
        </w:rPr>
        <w:t>Приказ Министерства здравоохранения и социального развития Российской Федерации от 12 апреля 2011 г. N 302н</w:t>
      </w:r>
      <w:r>
        <w:rPr>
          <w:rStyle w:val="16"/>
          <w:rFonts w:cs="Times New Roman"/>
          <w:sz w:val="28"/>
          <w:szCs w:val="28"/>
        </w:rPr>
        <w:fldChar w:fldCharType="end"/>
      </w:r>
      <w:r>
        <w:rPr>
          <w:rStyle w:val="16"/>
          <w:rFonts w:cs="Times New Roman"/>
          <w:sz w:val="28"/>
          <w:szCs w:val="28"/>
        </w:rPr>
        <w:t xml:space="preserve">. </w:t>
      </w:r>
      <w:r>
        <w:rPr>
          <w:rFonts w:cs="Times New Roman"/>
          <w:sz w:val="28"/>
          <w:szCs w:val="28"/>
        </w:rPr>
        <w:t>(ред. от 18.05.2020)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(Зарегистрировано в Минюсте России 21.10.2011 N 22111) (с изм. и доп., вступ. в силу с 01.07.2020);</w:t>
      </w:r>
    </w:p>
    <w:p w14:paraId="5DBDEC01">
      <w:pPr>
        <w:pStyle w:val="205"/>
        <w:numPr>
          <w:ilvl w:val="2"/>
          <w:numId w:val="2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Письмо Федеральной службы по надзору в сфере защиты прав потребителей и благополучия человека (РОСПОТРЕБНАДЗОР) от 21 апреля 2020 г. N 02/7500-2020- 24 «О направлении рекомендаций по организации работы сферы услуг по профилактике COVID-19» (Приложения: Рекомендации по организации работы салонов красоты и парикмахерских…саун и бань). Новые правила и требования для работы в корона вирусный период и после его завершения.</w:t>
      </w:r>
    </w:p>
    <w:p w14:paraId="6A0D3619">
      <w:pPr>
        <w:pStyle w:val="205"/>
        <w:numPr>
          <w:ilvl w:val="2"/>
          <w:numId w:val="2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Общероссийские классификаторы: «ОК 029-2014 (КДЕС ред.2). Общероссийский классификатор видов экономической деятельности»; «ОК 034-2014 (КПЕС 2008). Общероссийский классификатор продукции по видам экономической деятельности" (утверждены Приказом Росстандарта от 31.01.2014 N 14-ст), ред. от 12.02.2020. Перечень услуг, которые можно оказывать без медицинского образования и медицинской лицензии </w:t>
      </w:r>
    </w:p>
    <w:p w14:paraId="37B431D5">
      <w:pPr>
        <w:pStyle w:val="205"/>
        <w:numPr>
          <w:ilvl w:val="2"/>
          <w:numId w:val="2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Приказ Минобрнауки РФ 02.07.2013 N 534 (ред. от 31.05.2023) "Об утверждении Перечня профессий рабочих, должностей служащих, по которым осуществляется профессиональное обучение" (Зарегистрировано в Минюсте России 11.07.2023 № 74207)</w:t>
      </w:r>
    </w:p>
    <w:p w14:paraId="6577852E">
      <w:pPr>
        <w:pStyle w:val="205"/>
        <w:numPr>
          <w:ilvl w:val="2"/>
          <w:numId w:val="2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Приказ Министерства науки и высшего образования Российской Федерации от 31.05.2023 № 534 ∙ Официальное опубликование правовых актов (pravo.gov.ru) (Наименование бьюти-профессий, которые могут быть получены после прохождения профессионального обучения: специалист по маникюру/педикюру, парикмахер и т.д.)</w:t>
      </w:r>
    </w:p>
    <w:p w14:paraId="0CC2E4BF">
      <w:pPr>
        <w:pStyle w:val="205"/>
        <w:numPr>
          <w:ilvl w:val="2"/>
          <w:numId w:val="2"/>
        </w:numPr>
        <w:tabs>
          <w:tab w:val="left" w:pos="511"/>
        </w:tabs>
        <w:spacing w:after="200" w:line="276" w:lineRule="auto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Статья 238 Уголовного кодекса Российской Федерации (далее – УК РФ) установлена ответственность за </w:t>
      </w:r>
      <w:r>
        <w:rPr>
          <w:rFonts w:cs="Times New Roman"/>
          <w:b/>
          <w:bCs/>
          <w:sz w:val="28"/>
          <w:szCs w:val="28"/>
        </w:rPr>
        <w:t>оказание</w:t>
      </w:r>
      <w:r>
        <w:rPr>
          <w:rFonts w:cs="Times New Roman"/>
          <w:sz w:val="28"/>
          <w:szCs w:val="28"/>
        </w:rPr>
        <w:t> </w:t>
      </w:r>
      <w:r>
        <w:rPr>
          <w:rFonts w:cs="Times New Roman"/>
          <w:b/>
          <w:bCs/>
          <w:sz w:val="28"/>
          <w:szCs w:val="28"/>
        </w:rPr>
        <w:t>услуг</w:t>
      </w:r>
      <w:r>
        <w:rPr>
          <w:rFonts w:cs="Times New Roman"/>
          <w:sz w:val="28"/>
          <w:szCs w:val="28"/>
        </w:rPr>
        <w:t>, которые не отвечают требованиям, установленным в Законе Российской Федерации от 07.02.1992 № 2300-1 «О защите прав потребителей» и в других федеральных законах и международно-правовых актах, а также в принятых в соответствии с ними иных нормативных правовых актах Российской Федерации, если эти услуги являются некачественными, а значит опасными для здоровья.</w:t>
      </w:r>
    </w:p>
    <w:p w14:paraId="17A07113">
      <w:pPr>
        <w:pStyle w:val="205"/>
        <w:numPr>
          <w:ilvl w:val="2"/>
          <w:numId w:val="2"/>
        </w:numPr>
        <w:tabs>
          <w:tab w:val="left" w:pos="511"/>
        </w:tabs>
        <w:spacing w:after="200" w:line="276" w:lineRule="auto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Статья 67.4. </w:t>
      </w:r>
      <w:r>
        <w:rPr>
          <w:rFonts w:cs="Times New Roman"/>
          <w:iCs/>
          <w:sz w:val="28"/>
          <w:szCs w:val="28"/>
        </w:rPr>
        <w:t xml:space="preserve">Каждый должен соблюдать Конституцию Российской Федерации и законы, уважать права и свободы других лиц, нести иные установленные законом обязанности. Незнание официально опубликованного закона не освобождает от ответственности за его несоблюдение. Исполнение явно преступного приказа влечет за собой ответственность по закону. </w:t>
      </w:r>
    </w:p>
    <w:p w14:paraId="313785A9">
      <w:pPr>
        <w:pStyle w:val="205"/>
        <w:numPr>
          <w:ilvl w:val="2"/>
          <w:numId w:val="2"/>
        </w:numPr>
        <w:tabs>
          <w:tab w:val="left" w:pos="511"/>
          <w:tab w:val="left" w:pos="709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shd w:val="clear" w:color="auto" w:fill="FFFFFF"/>
        </w:rPr>
        <w:t>Постановление Главного санитарного врача России СанПин 2.1.3684</w:t>
      </w:r>
    </w:p>
    <w:p w14:paraId="5880877D">
      <w:pPr>
        <w:pStyle w:val="205"/>
        <w:numPr>
          <w:ilvl w:val="2"/>
          <w:numId w:val="2"/>
        </w:numPr>
        <w:tabs>
          <w:tab w:val="left" w:pos="511"/>
          <w:tab w:val="left" w:pos="709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shd w:val="clear" w:color="auto" w:fill="FFFFFF"/>
        </w:rPr>
        <w:t>Правила и санитарные нормы утилизации отходов, в том числе загрязненных биологическими жидкостям (отходы группы B).</w:t>
      </w:r>
    </w:p>
    <w:p w14:paraId="4421CF63">
      <w:pPr>
        <w:pStyle w:val="205"/>
        <w:numPr>
          <w:ilvl w:val="2"/>
          <w:numId w:val="2"/>
        </w:numPr>
        <w:tabs>
          <w:tab w:val="left" w:pos="511"/>
          <w:tab w:val="left" w:pos="709"/>
        </w:tabs>
        <w:spacing w:line="240" w:lineRule="auto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>
        <w:fldChar w:fldCharType="begin"/>
      </w:r>
      <w:r>
        <w:instrText xml:space="preserve"> HYPERLINK "https://normativ.kontur.ru/document?moduleId=1&amp;documentId=472480&amp;ysclid=m2irm53rri743744157" </w:instrText>
      </w:r>
      <w:r>
        <w:fldChar w:fldCharType="separate"/>
      </w:r>
      <w:r>
        <w:rPr>
          <w:rStyle w:val="16"/>
          <w:rFonts w:cs="Times New Roman"/>
          <w:sz w:val="28"/>
          <w:szCs w:val="28"/>
        </w:rPr>
        <w:t>Приказ Минздрава РФ от 24.05.2024 N 261Н — Редакция от 24.05.2024 — Контур. Норматив (kontur.ru)</w:t>
      </w:r>
      <w:r>
        <w:rPr>
          <w:rStyle w:val="16"/>
          <w:rFonts w:cs="Times New Roman"/>
          <w:sz w:val="28"/>
          <w:szCs w:val="28"/>
        </w:rPr>
        <w:fldChar w:fldCharType="end"/>
      </w:r>
      <w:r>
        <w:rPr>
          <w:rFonts w:cs="Times New Roman"/>
          <w:color w:val="333333"/>
          <w:sz w:val="28"/>
          <w:szCs w:val="28"/>
        </w:rPr>
        <w:t xml:space="preserve"> </w:t>
      </w:r>
      <w:r>
        <w:rPr>
          <w:rFonts w:cs="Times New Roman"/>
          <w:color w:val="000000" w:themeColor="text1"/>
          <w:sz w:val="28"/>
          <w:szCs w:val="28"/>
        </w:rPr>
        <w:t>(об утверждении требований к комплектации аптечки для оказания первой помощи с применением медицинских изделий в организациях, осуществляющие образовательную деятельность).</w:t>
      </w:r>
    </w:p>
    <w:p w14:paraId="7D4B0E03">
      <w:pPr>
        <w:pStyle w:val="205"/>
        <w:numPr>
          <w:ilvl w:val="2"/>
          <w:numId w:val="2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jc w:val="both"/>
        <w:rPr>
          <w:rFonts w:cs="Times New Roman"/>
          <w:sz w:val="28"/>
          <w:szCs w:val="28"/>
          <w:shd w:val="clear" w:color="auto" w:fill="FFFFFF"/>
        </w:rPr>
      </w:pPr>
      <w:r>
        <w:rPr>
          <w:rFonts w:cs="Times New Roman"/>
          <w:sz w:val="28"/>
          <w:szCs w:val="28"/>
          <w:shd w:val="clear" w:color="auto" w:fill="FFFFFF"/>
        </w:rPr>
        <w:t>Постановление Правительства РФ от 24.12.2021г. и ст.№214 ТК РФ- Требования к использованию средств индивидуальной защиты (СИЗ), применяемые в работе специалиста ногтевого сервиса.</w:t>
      </w:r>
    </w:p>
    <w:p w14:paraId="22585ED4">
      <w:pPr>
        <w:pStyle w:val="205"/>
        <w:numPr>
          <w:ilvl w:val="2"/>
          <w:numId w:val="2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Положение о чемпионатном движении  </w:t>
      </w:r>
      <w:r>
        <w:fldChar w:fldCharType="begin"/>
      </w:r>
      <w:r>
        <w:instrText xml:space="preserve"> HYPERLINK "https://pro.firpo.ru/kompetentsi/" </w:instrText>
      </w:r>
      <w:r>
        <w:fldChar w:fldCharType="separate"/>
      </w:r>
      <w:r>
        <w:rPr>
          <w:rStyle w:val="16"/>
        </w:rPr>
        <w:t>Компетенции | Всероссийское чемпионатное движение по профессиональному мастерству (firpo.ru)</w:t>
      </w:r>
      <w:r>
        <w:rPr>
          <w:rStyle w:val="16"/>
        </w:rPr>
        <w:fldChar w:fldCharType="end"/>
      </w:r>
    </w:p>
    <w:p w14:paraId="2653E4C8">
      <w:pPr>
        <w:pStyle w:val="205"/>
        <w:numPr>
          <w:ilvl w:val="2"/>
          <w:numId w:val="2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Инструкция о проведения регионального чемпионата </w:t>
      </w:r>
      <w:r>
        <w:fldChar w:fldCharType="begin"/>
      </w:r>
      <w:r>
        <w:instrText xml:space="preserve"> HYPERLINK "https://pro.firpo.ru/kompetentsi/" </w:instrText>
      </w:r>
      <w:r>
        <w:fldChar w:fldCharType="separate"/>
      </w:r>
      <w:r>
        <w:rPr>
          <w:rStyle w:val="16"/>
        </w:rPr>
        <w:t>Компетенции | Всероссийское чемпионатное движение по профессиональному мастерству (firpo.ru)</w:t>
      </w:r>
      <w:r>
        <w:rPr>
          <w:rStyle w:val="16"/>
        </w:rPr>
        <w:fldChar w:fldCharType="end"/>
      </w:r>
    </w:p>
    <w:p w14:paraId="5F688579">
      <w:pPr>
        <w:keepNext/>
        <w:keepLines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16B3F39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3.1. К выполнению конкурсного задания по компетенции «ногтевой сервис»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«маникюрша», «педикюрша», «специалист ногтевого сервиса», ознакомленные с инструкцией по охране труда, не имеющие противопоказаний к выполнению/оцениванию заданий по состоянию здоровья и имеющие необходимые навыки по эксплуатации инструмента, приспособлений и оборудования, а так же использованию косметических и химических препаратов.</w:t>
      </w:r>
    </w:p>
    <w:p w14:paraId="04232A69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 w14:paraId="17681DEB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4A67E6CF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06BAFB9A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 w14:paraId="0F09D15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161231E8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3.3.5. Применять безопасные методы и приёмы выполнения видов работ и оказания первой помощи, инструктаж по охране труда.</w:t>
      </w:r>
    </w:p>
    <w:p w14:paraId="3F5CC255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 При выполнении работ на конкурсанта Чемпионата возможны воздействия следующих опасных и вредных производственных факторов:</w:t>
      </w:r>
    </w:p>
    <w:p w14:paraId="62AC3F16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Физические:</w:t>
      </w:r>
    </w:p>
    <w:p w14:paraId="2EC9F1B2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bookmarkStart w:id="4" w:name="_Hlk77367335"/>
      <w:r>
        <w:rPr>
          <w:sz w:val="28"/>
          <w:szCs w:val="28"/>
        </w:rPr>
        <w:t>режущие и колющие предметы;</w:t>
      </w:r>
      <w:bookmarkEnd w:id="4"/>
    </w:p>
    <w:p w14:paraId="358B2E78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-органическая пыль;</w:t>
      </w:r>
    </w:p>
    <w:p w14:paraId="1E0FC1F3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-повышенная подвижность воздуха;</w:t>
      </w:r>
    </w:p>
    <w:p w14:paraId="1E164703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-повышенное напряжение в электрической сети;</w:t>
      </w:r>
    </w:p>
    <w:p w14:paraId="2DF66836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-недостаточная освещенность рабочего места; </w:t>
      </w:r>
    </w:p>
    <w:p w14:paraId="61B59F60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-напряжение зрительного аппарата; </w:t>
      </w:r>
    </w:p>
    <w:p w14:paraId="2AB95C7B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-напряжение кистей и пальцев рук; </w:t>
      </w:r>
    </w:p>
    <w:p w14:paraId="14FEAFC3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-термические ожоги;</w:t>
      </w:r>
    </w:p>
    <w:p w14:paraId="7CA3E295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-электрический ток.</w:t>
      </w:r>
    </w:p>
    <w:p w14:paraId="10FCA5C3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Химические: </w:t>
      </w:r>
    </w:p>
    <w:p w14:paraId="39A04CC8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shd w:val="clear" w:color="auto" w:fill="FFFFFF"/>
        </w:rPr>
        <w:t>возникновение аллергической реакции на косметическое средство;</w:t>
      </w:r>
    </w:p>
    <w:p w14:paraId="4613F4E3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-химические препараты (дезинфицирующие растворы, синтетические моющие средства, летучие вредные вещества в воздухе рабочей зоны; жидкость для удаления лака; препараты для покрытия ногтей (лак, акри-гель, поли-гель, гель-лак); праймер; пилинг; средство для обезжиривания ногтей и удаления остаточного липкого слоя; средство для удаления ороговений с кожи стопы; дезинфицирующие средства.</w:t>
      </w:r>
    </w:p>
    <w:p w14:paraId="3810919A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Психологические:</w:t>
      </w:r>
    </w:p>
    <w:p w14:paraId="0F9B7F8A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переутомление;</w:t>
      </w:r>
    </w:p>
    <w:p w14:paraId="2EF6BE48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чрезмерное напряжение внимания;</w:t>
      </w:r>
    </w:p>
    <w:p w14:paraId="6E673687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негативное отношение к коллегам.</w:t>
      </w:r>
    </w:p>
    <w:p w14:paraId="65F54ABA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3.4. Все участники Чемпионата (эксперты, конкурсанты, ТАП, волонтеры) должны находиться на площадке в рабочей форме, спецобуви и использовать средства индивидуальной защиты (по необходимости). </w:t>
      </w:r>
    </w:p>
    <w:p w14:paraId="3660F5A3">
      <w:pPr>
        <w:pStyle w:val="37"/>
        <w:spacing w:before="0" w:beforeAutospacing="0" w:after="0" w:afterAutospacing="0" w:line="276" w:lineRule="auto"/>
        <w:jc w:val="both"/>
        <w:outlineLvl w:val="9"/>
        <w:rPr>
          <w:rFonts w:cs="Times New Roman"/>
          <w:i/>
          <w:iCs/>
          <w:color w:val="000000"/>
          <w:sz w:val="32"/>
          <w:szCs w:val="32"/>
        </w:rPr>
      </w:pPr>
      <w:r>
        <w:rPr>
          <w:rFonts w:cs="Times New Roman"/>
          <w:i/>
          <w:iCs/>
          <w:color w:val="000000"/>
          <w:sz w:val="32"/>
          <w:szCs w:val="32"/>
        </w:rPr>
        <w:t>Требования к внешнему виду конкурсанта:</w:t>
      </w:r>
    </w:p>
    <w:p w14:paraId="75EC9938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</w:rPr>
        <w:t xml:space="preserve">- </w:t>
      </w:r>
      <w:r>
        <w:rPr>
          <w:rFonts w:cs="Times New Roman"/>
          <w:color w:val="000000"/>
          <w:sz w:val="28"/>
          <w:szCs w:val="28"/>
          <w:u w:val="single"/>
        </w:rPr>
        <w:t>брюки черного цвета</w:t>
      </w:r>
      <w:r>
        <w:rPr>
          <w:rFonts w:cs="Times New Roman"/>
          <w:color w:val="000000"/>
          <w:sz w:val="28"/>
          <w:szCs w:val="28"/>
        </w:rPr>
        <w:t xml:space="preserve">, </w:t>
      </w:r>
      <w:r>
        <w:rPr>
          <w:sz w:val="28"/>
          <w:szCs w:val="28"/>
          <w:shd w:val="clear" w:color="auto" w:fill="FFFFFF"/>
        </w:rPr>
        <w:t>крой классический (</w:t>
      </w:r>
      <w:r>
        <w:rPr>
          <w:color w:val="000000" w:themeColor="text1"/>
          <w:sz w:val="28"/>
          <w:szCs w:val="28"/>
          <w:shd w:val="clear" w:color="auto" w:fill="FFFFFF"/>
        </w:rPr>
        <w:t>не допускаются:</w:t>
      </w:r>
      <w:r>
        <w:rPr>
          <w:sz w:val="28"/>
          <w:szCs w:val="28"/>
          <w:shd w:val="clear" w:color="auto" w:fill="FFFFFF"/>
        </w:rPr>
        <w:t xml:space="preserve"> манжеты, резинка внизу, палацио и др., не относящиеся к классике), с брюками нужно надевать носки/гольфы (под цвет брюк, достаточно высокие, чтобы в положении сидя голени не оголялись); </w:t>
      </w:r>
    </w:p>
    <w:p w14:paraId="1E90C60E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2663825</wp:posOffset>
            </wp:positionH>
            <wp:positionV relativeFrom="paragraph">
              <wp:posOffset>66675</wp:posOffset>
            </wp:positionV>
            <wp:extent cx="754380" cy="1125220"/>
            <wp:effectExtent l="0" t="0" r="7620" b="0"/>
            <wp:wrapTight wrapText="bothSides">
              <wp:wrapPolygon>
                <wp:start x="0" y="0"/>
                <wp:lineTo x="0" y="21210"/>
                <wp:lineTo x="21273" y="21210"/>
                <wp:lineTo x="21273" y="0"/>
                <wp:lineTo x="0" y="0"/>
              </wp:wrapPolygon>
            </wp:wrapTight>
            <wp:docPr id="121909638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909638" name="Рисунок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112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23E6829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</w:p>
    <w:p w14:paraId="208DFAD1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</w:p>
    <w:p w14:paraId="2BA4BA7A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</w:p>
    <w:p w14:paraId="4D500B5D">
      <w:pPr>
        <w:pStyle w:val="37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  <w:u w:val="single"/>
        </w:rPr>
        <w:t>- футболка корпоративная</w:t>
      </w:r>
      <w:r>
        <w:rPr>
          <w:rFonts w:cs="Times New Roman"/>
          <w:color w:val="000000"/>
          <w:sz w:val="28"/>
          <w:szCs w:val="28"/>
        </w:rPr>
        <w:t xml:space="preserve"> (выдает Региональный оператор, цветовая гамма соответствует возрастной категории). Используется в день Д-1 (день конкурсанта), открытие и закрытие Чемпионата.</w:t>
      </w:r>
    </w:p>
    <w:p w14:paraId="55649FE5">
      <w:pPr>
        <w:pStyle w:val="37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3679190</wp:posOffset>
                </wp:positionH>
                <wp:positionV relativeFrom="paragraph">
                  <wp:posOffset>90805</wp:posOffset>
                </wp:positionV>
                <wp:extent cx="1577340" cy="647700"/>
                <wp:effectExtent l="4445" t="4445" r="18415" b="14605"/>
                <wp:wrapSquare wrapText="bothSides"/>
                <wp:docPr id="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7340" cy="6477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FFFF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23877F96">
                            <w:r>
                              <w:t xml:space="preserve">       Конкурсант</w:t>
                            </w:r>
                          </w:p>
                          <w:p w14:paraId="3480E485">
                            <w:r>
                              <w:t>состава, ЮНИОРЫ</w:t>
                            </w:r>
                          </w:p>
                          <w:p w14:paraId="2E524ADC">
                            <w:r>
                              <w:t xml:space="preserve"> от 14 до 16 лет   </w:t>
                            </w:r>
                          </w:p>
                          <w:p w14:paraId="6FB9ED6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289.7pt;margin-top:7.15pt;height:51pt;width:124.2pt;mso-wrap-distance-bottom:3.6pt;mso-wrap-distance-left:9pt;mso-wrap-distance-right:9pt;mso-wrap-distance-top:3.6pt;z-index:251664384;mso-width-relative:margin;mso-height-relative:margin;" fillcolor="#FFFF00" filled="t" stroked="t" coordsize="21600,21600" o:gfxdata="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UEIzw3AAAAAoBAAAPAAAAAAAAAAEAIAAAACIAAABkcnMvZG93bnJldi54&#10;bWxQSwECFAAUAAAACACHTuJA4/S3Yy8CAACIBAAADgAAAAAAAAABACAAAAArAQAAZHJzL2Uyb0Rv&#10;Yy54bWxQSwUGAAAAAAYABgBZAQAAzAUAAAAA&#10;">
                <v:fill on="t" focussize="0,0"/>
                <v:stroke color="#FFFF00" miterlimit="8" joinstyle="miter"/>
                <v:imagedata o:title=""/>
                <o:lock v:ext="edit" aspectratio="f"/>
                <v:textbox>
                  <w:txbxContent>
                    <w:p w14:paraId="23877F96">
                      <w:r>
                        <w:t xml:space="preserve">       Конкурсант</w:t>
                      </w:r>
                    </w:p>
                    <w:p w14:paraId="3480E485">
                      <w:r>
                        <w:t>состава, ЮНИОРЫ</w:t>
                      </w:r>
                    </w:p>
                    <w:p w14:paraId="2E524ADC">
                      <w:r>
                        <w:t xml:space="preserve"> от 14 до 16 лет   </w:t>
                      </w:r>
                    </w:p>
                    <w:p w14:paraId="6FB9ED6A"/>
                  </w:txbxContent>
                </v:textbox>
                <w10:wrap type="square"/>
              </v:shape>
            </w:pict>
          </mc:Fallback>
        </mc:AlternateContent>
      </w:r>
      <w:r>
        <w:rPr>
          <w:rFonts w:cs="Times New Roman"/>
          <w:color w:val="00000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posOffset>152400</wp:posOffset>
                </wp:positionH>
                <wp:positionV relativeFrom="paragraph">
                  <wp:posOffset>75565</wp:posOffset>
                </wp:positionV>
                <wp:extent cx="1828800" cy="1404620"/>
                <wp:effectExtent l="4445" t="4445" r="14605" b="19685"/>
                <wp:wrapSquare wrapText="bothSides"/>
                <wp:docPr id="5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40462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 cap="flat" cmpd="sng">
                          <a:solidFill>
                            <a:srgbClr val="D6E3BC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DB51B13">
                            <w:r>
                              <w:t xml:space="preserve">       Конкурсант</w:t>
                            </w:r>
                          </w:p>
                          <w:p w14:paraId="6DFFC047">
                            <w:r>
                              <w:t xml:space="preserve"> ОСНОВНОГО состава</w:t>
                            </w:r>
                          </w:p>
                          <w:p w14:paraId="060FCCE4">
                            <w:pPr>
                              <w:rPr>
                                <w:lang w:val="en-US"/>
                              </w:rPr>
                            </w:pPr>
                            <w:r>
                              <w:t xml:space="preserve">       от 16 лет   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Надпись 3" o:spid="_x0000_s1026" o:spt="202" type="#_x0000_t202" style="position:absolute;left:0pt;margin-left:12pt;margin-top:5.95pt;height:110.6pt;width:144pt;mso-position-horizontal-relative:margin;mso-wrap-distance-bottom:3.6pt;mso-wrap-distance-left:9pt;mso-wrap-distance-right:9pt;mso-wrap-distance-top:3.6pt;z-index:251663360;mso-width-relative:margin;mso-height-relative:margin;mso-height-percent:200;" fillcolor="#D6E3BC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">
                <v:fill on="t" focussize="0,0"/>
                <v:stroke color="#D6E3BC" joinstyle="miter"/>
                <v:imagedata o:title=""/>
                <o:lock v:ext="edit" aspectratio="f"/>
                <v:textbox style="mso-fit-shape-to-text:t;">
                  <w:txbxContent>
                    <w:p w14:paraId="6DB51B13">
                      <w:r>
                        <w:t xml:space="preserve">       Конкурсант</w:t>
                      </w:r>
                    </w:p>
                    <w:p w14:paraId="6DFFC047">
                      <w:r>
                        <w:t xml:space="preserve"> ОСНОВНОГО состава</w:t>
                      </w:r>
                    </w:p>
                    <w:p w14:paraId="060FCCE4">
                      <w:pPr>
                        <w:rPr>
                          <w:lang w:val="en-US"/>
                        </w:rPr>
                      </w:pPr>
                      <w:r>
                        <w:t xml:space="preserve">       от 16 лет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594DBF">
      <w:pPr>
        <w:pStyle w:val="37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</w:p>
    <w:p w14:paraId="3D5228B4">
      <w:pPr>
        <w:pStyle w:val="37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</w:p>
    <w:p w14:paraId="20ADD515">
      <w:pPr>
        <w:pStyle w:val="37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4060190</wp:posOffset>
            </wp:positionH>
            <wp:positionV relativeFrom="paragraph">
              <wp:posOffset>8890</wp:posOffset>
            </wp:positionV>
            <wp:extent cx="929640" cy="845820"/>
            <wp:effectExtent l="0" t="0" r="3810" b="0"/>
            <wp:wrapTight wrapText="bothSides">
              <wp:wrapPolygon>
                <wp:start x="0" y="0"/>
                <wp:lineTo x="0" y="20919"/>
                <wp:lineTo x="21246" y="20919"/>
                <wp:lineTo x="21246" y="0"/>
                <wp:lineTo x="0" y="0"/>
              </wp:wrapPolygon>
            </wp:wrapTight>
            <wp:docPr id="45044365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443650" name="Рисунок 1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9640" cy="845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/>
          <w:color w:val="000000"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455930</wp:posOffset>
            </wp:positionH>
            <wp:positionV relativeFrom="paragraph">
              <wp:posOffset>8890</wp:posOffset>
            </wp:positionV>
            <wp:extent cx="1082040" cy="977900"/>
            <wp:effectExtent l="0" t="0" r="3810" b="0"/>
            <wp:wrapTight wrapText="bothSides">
              <wp:wrapPolygon>
                <wp:start x="0" y="0"/>
                <wp:lineTo x="0" y="21039"/>
                <wp:lineTo x="21296" y="21039"/>
                <wp:lineTo x="21296" y="0"/>
                <wp:lineTo x="0" y="0"/>
              </wp:wrapPolygon>
            </wp:wrapTight>
            <wp:docPr id="20498592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859272" name="Рисунок 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977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ED26E4">
      <w:pPr>
        <w:pStyle w:val="37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</w:p>
    <w:p w14:paraId="784477C4">
      <w:pPr>
        <w:pStyle w:val="37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</w:p>
    <w:p w14:paraId="034489BC">
      <w:pPr>
        <w:pStyle w:val="37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</w:p>
    <w:p w14:paraId="09638C5E">
      <w:pPr>
        <w:pStyle w:val="37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</w:t>
      </w:r>
      <w:r>
        <w:rPr>
          <w:rFonts w:cs="Times New Roman"/>
          <w:color w:val="000000"/>
          <w:sz w:val="28"/>
          <w:szCs w:val="28"/>
          <w:u w:val="single"/>
        </w:rPr>
        <w:t>футболка соревновательная.</w:t>
      </w:r>
      <w:r>
        <w:rPr>
          <w:rFonts w:cs="Times New Roman"/>
          <w:color w:val="000000"/>
          <w:sz w:val="28"/>
          <w:szCs w:val="28"/>
        </w:rPr>
        <w:t xml:space="preserve"> Цветовая гамма красная</w:t>
      </w:r>
    </w:p>
    <w:p w14:paraId="09DEBBBD">
      <w:pPr>
        <w:pStyle w:val="37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2347595</wp:posOffset>
            </wp:positionH>
            <wp:positionV relativeFrom="paragraph">
              <wp:posOffset>53975</wp:posOffset>
            </wp:positionV>
            <wp:extent cx="834390" cy="834390"/>
            <wp:effectExtent l="0" t="0" r="0" b="0"/>
            <wp:wrapTight wrapText="bothSides">
              <wp:wrapPolygon>
                <wp:start x="0" y="0"/>
                <wp:lineTo x="0" y="21205"/>
                <wp:lineTo x="21205" y="21205"/>
                <wp:lineTo x="21205" y="0"/>
                <wp:lineTo x="0" y="0"/>
              </wp:wrapPolygon>
            </wp:wrapTight>
            <wp:docPr id="18587833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878331" name="Рисунок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4390" cy="83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6592D98">
      <w:pPr>
        <w:pStyle w:val="37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</w:p>
    <w:p w14:paraId="3CE3C2EC">
      <w:pPr>
        <w:pStyle w:val="37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</w:p>
    <w:p w14:paraId="74B261F0">
      <w:pPr>
        <w:pStyle w:val="37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</w:p>
    <w:p w14:paraId="42CC6528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  <w:r>
        <w:rPr>
          <w:sz w:val="28"/>
          <w:szCs w:val="28"/>
          <w:u w:val="single"/>
          <w:shd w:val="clear" w:color="auto" w:fill="FFFFFF"/>
        </w:rPr>
        <w:t xml:space="preserve">- на левой руке (в середине плечевой зоны) </w:t>
      </w:r>
      <w:r>
        <w:rPr>
          <w:sz w:val="28"/>
          <w:szCs w:val="28"/>
          <w:shd w:val="clear" w:color="auto" w:fill="FFFFFF"/>
        </w:rPr>
        <w:t xml:space="preserve">закрепляется шеврон с логотипом. </w:t>
      </w:r>
    </w:p>
    <w:p w14:paraId="63A9CC83">
      <w:pPr>
        <w:pStyle w:val="37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В этой футболке конкурсант находится на конкурсной площадке в дни проведения соревнований (Д1; Д2; Д3).</w:t>
      </w:r>
    </w:p>
    <w:p w14:paraId="15ACACFE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  <w:r>
        <w:rPr>
          <w:sz w:val="28"/>
          <w:szCs w:val="28"/>
          <w:u w:val="single"/>
          <w:shd w:val="clear" w:color="auto" w:fill="FFFFFF"/>
        </w:rPr>
        <w:t xml:space="preserve">- обувь с закрытым носком и закрытой пяткой </w:t>
      </w:r>
      <w:r>
        <w:rPr>
          <w:sz w:val="28"/>
          <w:szCs w:val="28"/>
          <w:shd w:val="clear" w:color="auto" w:fill="FFFFFF"/>
        </w:rPr>
        <w:t xml:space="preserve">(чистая), каблук не более 3 см.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Запрещается </w:t>
      </w:r>
      <w:r>
        <w:rPr>
          <w:sz w:val="28"/>
          <w:szCs w:val="28"/>
          <w:shd w:val="clear" w:color="auto" w:fill="FFFFFF"/>
        </w:rPr>
        <w:t>использовать кроксы и сабо. Конкурсант должен ощущать себя комфортно в данной обуви, в положении как сидя, так и стоя. Обувь является частью профессионального дресс-кода и должна гармонично вписываться в общий вид.</w:t>
      </w:r>
    </w:p>
    <w:p w14:paraId="7802BF58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2720340</wp:posOffset>
            </wp:positionH>
            <wp:positionV relativeFrom="paragraph">
              <wp:posOffset>-2540</wp:posOffset>
            </wp:positionV>
            <wp:extent cx="858520" cy="571500"/>
            <wp:effectExtent l="0" t="0" r="0" b="0"/>
            <wp:wrapTight wrapText="bothSides">
              <wp:wrapPolygon>
                <wp:start x="1917" y="0"/>
                <wp:lineTo x="0" y="1440"/>
                <wp:lineTo x="0" y="20160"/>
                <wp:lineTo x="1917" y="20880"/>
                <wp:lineTo x="19172" y="20880"/>
                <wp:lineTo x="21089" y="20160"/>
                <wp:lineTo x="21089" y="1440"/>
                <wp:lineTo x="19172" y="0"/>
                <wp:lineTo x="1917" y="0"/>
              </wp:wrapPolygon>
            </wp:wrapTight>
            <wp:docPr id="2113118508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3118508" name="Рисунок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8520" cy="571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sz w:val="28"/>
          <w:szCs w:val="28"/>
          <w:shd w:val="clear" w:color="auto" w:fill="FFFFFF"/>
        </w:rPr>
        <w:t>Например:</w:t>
      </w:r>
    </w:p>
    <w:p w14:paraId="56A96AF3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1266825</wp:posOffset>
            </wp:positionH>
            <wp:positionV relativeFrom="paragraph">
              <wp:posOffset>140335</wp:posOffset>
            </wp:positionV>
            <wp:extent cx="770890" cy="617220"/>
            <wp:effectExtent l="0" t="0" r="0" b="0"/>
            <wp:wrapTight wrapText="bothSides">
              <wp:wrapPolygon>
                <wp:start x="0" y="0"/>
                <wp:lineTo x="0" y="20667"/>
                <wp:lineTo x="20817" y="20667"/>
                <wp:lineTo x="20817" y="0"/>
                <wp:lineTo x="0" y="0"/>
              </wp:wrapPolygon>
            </wp:wrapTight>
            <wp:docPr id="532647910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647910" name="Рисунок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22E4195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</w:p>
    <w:p w14:paraId="149A7F2F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</w:p>
    <w:p w14:paraId="77636C60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u w:val="single"/>
          <w:shd w:val="clear" w:color="auto" w:fill="FFFFFF"/>
        </w:rPr>
      </w:pPr>
    </w:p>
    <w:p w14:paraId="4D8E5F7A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  <w:r>
        <w:rPr>
          <w:sz w:val="28"/>
          <w:szCs w:val="28"/>
          <w:u w:val="single"/>
          <w:shd w:val="clear" w:color="auto" w:fill="FFFFFF"/>
        </w:rPr>
        <w:t>- фартук.</w:t>
      </w:r>
      <w:r>
        <w:rPr>
          <w:sz w:val="28"/>
          <w:szCs w:val="28"/>
          <w:shd w:val="clear" w:color="auto" w:fill="FFFFFF"/>
        </w:rPr>
        <w:t xml:space="preserve"> Он может быть из текстиля или одноразовый.</w:t>
      </w:r>
    </w:p>
    <w:p w14:paraId="3FFF47C7">
      <w:pPr>
        <w:pStyle w:val="37"/>
        <w:numPr>
          <w:ilvl w:val="0"/>
          <w:numId w:val="3"/>
        </w:numPr>
        <w:spacing w:before="0" w:beforeAutospacing="0" w:after="0" w:afterAutospacing="0" w:line="276" w:lineRule="auto"/>
        <w:ind w:left="0" w:firstLine="709"/>
        <w:jc w:val="both"/>
        <w:outlineLvl w:val="9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Драгоценности в виде пары серег маленького размера (не более 1 пары) разрешается; </w:t>
      </w:r>
    </w:p>
    <w:p w14:paraId="7910D3B2">
      <w:pPr>
        <w:pStyle w:val="37"/>
        <w:numPr>
          <w:ilvl w:val="0"/>
          <w:numId w:val="3"/>
        </w:numPr>
        <w:spacing w:before="0" w:beforeAutospacing="0" w:after="0" w:afterAutospacing="0" w:line="276" w:lineRule="auto"/>
        <w:ind w:left="0" w:firstLine="709"/>
        <w:jc w:val="both"/>
        <w:outlineLvl w:val="9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Религиозные украшения должны быть убраны под рабочую форму;</w:t>
      </w:r>
    </w:p>
    <w:p w14:paraId="657C7425">
      <w:pPr>
        <w:pStyle w:val="37"/>
        <w:numPr>
          <w:ilvl w:val="0"/>
          <w:numId w:val="3"/>
        </w:numPr>
        <w:spacing w:before="0" w:beforeAutospacing="0" w:after="0" w:afterAutospacing="0" w:line="276" w:lineRule="auto"/>
        <w:ind w:left="0" w:firstLine="709"/>
        <w:jc w:val="both"/>
        <w:outlineLvl w:val="9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Руки конкурсанта должны быть ухожены, приветствуется гигиенический маникюр. Можно использовать декоративное покрытие натуральных оттенков лак/гель-лак, поли-гель, акри-гель; часы/украшения на руке не допускаются;</w:t>
      </w:r>
    </w:p>
    <w:p w14:paraId="28F8D874">
      <w:pPr>
        <w:pStyle w:val="37"/>
        <w:numPr>
          <w:ilvl w:val="0"/>
          <w:numId w:val="3"/>
        </w:numPr>
        <w:spacing w:before="0" w:beforeAutospacing="0" w:after="0" w:afterAutospacing="0" w:line="276" w:lineRule="auto"/>
        <w:ind w:left="0" w:firstLine="709"/>
        <w:jc w:val="both"/>
        <w:outlineLvl w:val="9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Соблюдение гигиены тела. Не использовать резкие запахи парфюмерии. Не использовать жевательную резинку, конфеты;</w:t>
      </w:r>
    </w:p>
    <w:p w14:paraId="2B7AE924">
      <w:pPr>
        <w:pStyle w:val="37"/>
        <w:numPr>
          <w:ilvl w:val="0"/>
          <w:numId w:val="3"/>
        </w:numPr>
        <w:spacing w:before="0" w:beforeAutospacing="0" w:after="0" w:afterAutospacing="0" w:line="276" w:lineRule="auto"/>
        <w:ind w:left="0" w:firstLine="709"/>
        <w:jc w:val="both"/>
        <w:outlineLvl w:val="9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Волосы чистые, аккуратно причесанные, закрепленные в прическу– </w:t>
      </w:r>
      <w:r>
        <w:rPr>
          <w:color w:val="000000" w:themeColor="text1"/>
          <w:sz w:val="28"/>
          <w:szCs w:val="28"/>
          <w:shd w:val="clear" w:color="auto" w:fill="FFFFFF"/>
        </w:rPr>
        <w:t>не должны спадать на плечи или лицо;</w:t>
      </w:r>
      <w:r>
        <w:rPr>
          <w:sz w:val="28"/>
          <w:szCs w:val="28"/>
          <w:shd w:val="clear" w:color="auto" w:fill="FFFFFF"/>
        </w:rPr>
        <w:t xml:space="preserve"> разрешены украшения в виде заколок, шпилек с бусинами;</w:t>
      </w:r>
    </w:p>
    <w:p w14:paraId="1BE2895D">
      <w:pPr>
        <w:pStyle w:val="37"/>
        <w:numPr>
          <w:ilvl w:val="0"/>
          <w:numId w:val="3"/>
        </w:numPr>
        <w:spacing w:before="0" w:beforeAutospacing="0" w:after="0" w:afterAutospacing="0" w:line="276" w:lineRule="auto"/>
        <w:ind w:left="0" w:firstLine="709"/>
        <w:jc w:val="both"/>
        <w:outlineLvl w:val="9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Рекомендован дневной или освежающий макияж подчеркивающий достоинства конкурсанта.</w:t>
      </w:r>
    </w:p>
    <w:p w14:paraId="7D79CE82">
      <w:pPr>
        <w:pStyle w:val="37"/>
        <w:spacing w:before="0" w:beforeAutospacing="0" w:after="0" w:afterAutospacing="0" w:line="276" w:lineRule="auto"/>
        <w:ind w:left="709"/>
        <w:jc w:val="both"/>
        <w:outlineLvl w:val="9"/>
        <w:rPr>
          <w:sz w:val="28"/>
          <w:szCs w:val="28"/>
        </w:rPr>
      </w:pPr>
    </w:p>
    <w:p w14:paraId="0A7A87D4">
      <w:pPr>
        <w:pStyle w:val="37"/>
        <w:spacing w:before="0" w:beforeAutospacing="0" w:after="0" w:afterAutospacing="0" w:line="276" w:lineRule="auto"/>
        <w:ind w:left="709"/>
        <w:jc w:val="both"/>
        <w:outlineLvl w:val="9"/>
        <w:rPr>
          <w:sz w:val="28"/>
          <w:szCs w:val="28"/>
        </w:rPr>
      </w:pPr>
    </w:p>
    <w:p w14:paraId="0963DEB7">
      <w:pPr>
        <w:pStyle w:val="37"/>
        <w:spacing w:before="0" w:beforeAutospacing="0" w:after="0" w:afterAutospacing="0" w:line="276" w:lineRule="auto"/>
        <w:jc w:val="both"/>
        <w:outlineLvl w:val="9"/>
        <w:rPr>
          <w:rFonts w:cs="Times New Roman"/>
          <w:i/>
          <w:iCs/>
          <w:color w:val="000000"/>
          <w:sz w:val="32"/>
          <w:szCs w:val="32"/>
          <w:u w:val="single"/>
        </w:rPr>
      </w:pPr>
      <w:r>
        <w:rPr>
          <w:rFonts w:cs="Times New Roman"/>
          <w:i/>
          <w:iCs/>
          <w:color w:val="000000"/>
          <w:sz w:val="32"/>
          <w:szCs w:val="32"/>
          <w:u w:val="single"/>
        </w:rPr>
        <w:t>Требования к внешнему виду эксперта:</w:t>
      </w:r>
    </w:p>
    <w:p w14:paraId="42186759">
      <w:pPr>
        <w:pStyle w:val="37"/>
        <w:spacing w:before="0" w:beforeAutospacing="0" w:after="0" w:afterAutospacing="0" w:line="276" w:lineRule="auto"/>
        <w:jc w:val="both"/>
        <w:outlineLvl w:val="9"/>
        <w:rPr>
          <w:rFonts w:cs="Times New Roman"/>
          <w:i/>
          <w:iCs/>
          <w:color w:val="000000"/>
          <w:sz w:val="32"/>
          <w:szCs w:val="32"/>
          <w:u w:val="single"/>
        </w:rPr>
      </w:pPr>
    </w:p>
    <w:p w14:paraId="3452DEFD">
      <w:pPr>
        <w:pStyle w:val="37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В одежде применяется официально-деловой стиль:</w:t>
      </w:r>
    </w:p>
    <w:p w14:paraId="4B2BA1AD">
      <w:pPr>
        <w:pStyle w:val="37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-единый внешний вид экспертов:</w:t>
      </w:r>
    </w:p>
    <w:p w14:paraId="565DD210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</w:rPr>
        <w:t xml:space="preserve"> - </w:t>
      </w:r>
      <w:r>
        <w:rPr>
          <w:rFonts w:cs="Times New Roman"/>
          <w:color w:val="000000"/>
          <w:sz w:val="28"/>
          <w:szCs w:val="28"/>
          <w:u w:val="single"/>
        </w:rPr>
        <w:t>брюки черного цвета</w:t>
      </w:r>
      <w:r>
        <w:rPr>
          <w:rFonts w:cs="Times New Roman"/>
          <w:color w:val="000000"/>
          <w:sz w:val="28"/>
          <w:szCs w:val="28"/>
        </w:rPr>
        <w:t xml:space="preserve">, крой классический (не допускаются: манжеты, резинка внизу, палацио и др., не относящиеся к классике), с брюками нужно надевать носки/гольфы (под цвет брюк); </w:t>
      </w:r>
    </w:p>
    <w:p w14:paraId="5FC89846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2194560</wp:posOffset>
            </wp:positionH>
            <wp:positionV relativeFrom="paragraph">
              <wp:posOffset>40640</wp:posOffset>
            </wp:positionV>
            <wp:extent cx="573405" cy="854710"/>
            <wp:effectExtent l="0" t="0" r="0" b="0"/>
            <wp:wrapTight wrapText="bothSides">
              <wp:wrapPolygon>
                <wp:start x="0" y="0"/>
                <wp:lineTo x="0" y="21183"/>
                <wp:lineTo x="20811" y="21183"/>
                <wp:lineTo x="20811" y="0"/>
                <wp:lineTo x="0" y="0"/>
              </wp:wrapPolygon>
            </wp:wrapTight>
            <wp:docPr id="678954028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954028" name="Рисунок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405" cy="85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18A7623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</w:p>
    <w:p w14:paraId="3FBF9412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</w:p>
    <w:p w14:paraId="4EED4373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</w:p>
    <w:p w14:paraId="7BF706CC">
      <w:pPr>
        <w:pStyle w:val="37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  <w:u w:val="single"/>
        </w:rPr>
        <w:t>- футболка корпоративная</w:t>
      </w:r>
      <w:r>
        <w:rPr>
          <w:rFonts w:cs="Times New Roman"/>
          <w:color w:val="000000"/>
          <w:sz w:val="28"/>
          <w:szCs w:val="28"/>
        </w:rPr>
        <w:t xml:space="preserve"> (выдает Региональный оператор, цветовая гамма черная). Рукав может быть короткий и длинный. Используется в день Д-2, Д-1 (день эксперта, день конкурсанта), открытие и закрытие Чемпионата.</w:t>
      </w:r>
    </w:p>
    <w:p w14:paraId="2E0B1AA0">
      <w:pPr>
        <w:pStyle w:val="37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posOffset>1785620</wp:posOffset>
            </wp:positionH>
            <wp:positionV relativeFrom="paragraph">
              <wp:posOffset>4445</wp:posOffset>
            </wp:positionV>
            <wp:extent cx="1714500" cy="857885"/>
            <wp:effectExtent l="0" t="0" r="0" b="0"/>
            <wp:wrapTight wrapText="bothSides">
              <wp:wrapPolygon>
                <wp:start x="0" y="0"/>
                <wp:lineTo x="0" y="21104"/>
                <wp:lineTo x="21360" y="21104"/>
                <wp:lineTo x="21360" y="0"/>
                <wp:lineTo x="0" y="0"/>
              </wp:wrapPolygon>
            </wp:wrapTight>
            <wp:docPr id="2468175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81759" name="Рисунок 1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857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D1BF78">
      <w:pPr>
        <w:pStyle w:val="37"/>
        <w:spacing w:before="0" w:beforeAutospacing="0" w:after="0" w:afterAutospacing="0" w:line="276" w:lineRule="auto"/>
        <w:ind w:left="709"/>
        <w:jc w:val="both"/>
        <w:outlineLvl w:val="9"/>
        <w:rPr>
          <w:sz w:val="28"/>
          <w:szCs w:val="28"/>
        </w:rPr>
      </w:pPr>
    </w:p>
    <w:p w14:paraId="2CE055C0">
      <w:pPr>
        <w:pStyle w:val="37"/>
        <w:spacing w:before="0" w:beforeAutospacing="0" w:after="0" w:afterAutospacing="0" w:line="276" w:lineRule="auto"/>
        <w:ind w:left="709"/>
        <w:jc w:val="both"/>
        <w:outlineLvl w:val="9"/>
        <w:rPr>
          <w:sz w:val="28"/>
          <w:szCs w:val="28"/>
        </w:rPr>
      </w:pPr>
    </w:p>
    <w:p w14:paraId="27FA1E69">
      <w:pPr>
        <w:pStyle w:val="37"/>
        <w:spacing w:line="276" w:lineRule="auto"/>
        <w:jc w:val="both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u w:val="single"/>
        </w:rPr>
        <w:t>рубашка белая</w:t>
      </w:r>
      <w:r>
        <w:rPr>
          <w:sz w:val="28"/>
          <w:szCs w:val="28"/>
        </w:rPr>
        <w:t>. Белая классическая блуза/рубашка (определяется по типу фигуры). Размер, длина и посадка рубашки определяется типом фигуры, рукав может быть (до локтевого сустава или до запястья, не перекрывая ладонь. Рукав не должен быть широким. Рубашка может быть заправленная в брюки или по вверх брюк.</w:t>
      </w:r>
    </w:p>
    <w:p w14:paraId="55394661">
      <w:pPr>
        <w:pStyle w:val="37"/>
        <w:spacing w:line="276" w:lineRule="auto"/>
        <w:jc w:val="both"/>
        <w:outlineLvl w:val="9"/>
        <w:rPr>
          <w:sz w:val="28"/>
          <w:szCs w:val="28"/>
        </w:rPr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margin">
              <wp:posOffset>3178175</wp:posOffset>
            </wp:positionH>
            <wp:positionV relativeFrom="paragraph">
              <wp:posOffset>237490</wp:posOffset>
            </wp:positionV>
            <wp:extent cx="853440" cy="853440"/>
            <wp:effectExtent l="0" t="0" r="3810" b="3810"/>
            <wp:wrapTight wrapText="bothSides">
              <wp:wrapPolygon>
                <wp:start x="1929" y="0"/>
                <wp:lineTo x="0" y="964"/>
                <wp:lineTo x="0" y="20732"/>
                <wp:lineTo x="1929" y="21214"/>
                <wp:lineTo x="19286" y="21214"/>
                <wp:lineTo x="21214" y="20732"/>
                <wp:lineTo x="21214" y="964"/>
                <wp:lineTo x="19286" y="0"/>
                <wp:lineTo x="1929" y="0"/>
              </wp:wrapPolygon>
            </wp:wrapTight>
            <wp:docPr id="14092607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2607" name="Рисунок 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3440" cy="8534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1469390</wp:posOffset>
            </wp:positionH>
            <wp:positionV relativeFrom="paragraph">
              <wp:posOffset>212725</wp:posOffset>
            </wp:positionV>
            <wp:extent cx="876300" cy="876300"/>
            <wp:effectExtent l="0" t="0" r="0" b="0"/>
            <wp:wrapTight wrapText="bothSides">
              <wp:wrapPolygon>
                <wp:start x="0" y="0"/>
                <wp:lineTo x="0" y="21130"/>
                <wp:lineTo x="21130" y="21130"/>
                <wp:lineTo x="21130" y="0"/>
                <wp:lineTo x="0" y="0"/>
              </wp:wrapPolygon>
            </wp:wrapTight>
            <wp:docPr id="1152807282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807282" name="Рисунок 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Например:</w:t>
      </w:r>
    </w:p>
    <w:p w14:paraId="5F836BBF">
      <w:pPr>
        <w:pStyle w:val="37"/>
        <w:spacing w:line="276" w:lineRule="auto"/>
        <w:jc w:val="both"/>
        <w:outlineLvl w:val="9"/>
        <w:rPr>
          <w:sz w:val="28"/>
          <w:szCs w:val="28"/>
        </w:rPr>
      </w:pPr>
    </w:p>
    <w:p w14:paraId="5A3C0C24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</w:rPr>
      </w:pPr>
    </w:p>
    <w:p w14:paraId="5E52C417">
      <w:pPr>
        <w:pStyle w:val="37"/>
        <w:spacing w:before="0" w:beforeAutospacing="0" w:after="0" w:afterAutospacing="0" w:line="276" w:lineRule="auto"/>
        <w:ind w:left="709"/>
        <w:jc w:val="both"/>
        <w:outlineLvl w:val="9"/>
        <w:rPr>
          <w:sz w:val="28"/>
          <w:szCs w:val="28"/>
        </w:rPr>
      </w:pPr>
      <w:r>
        <mc:AlternateContent>
          <mc:Choice Requires="wps">
            <w:drawing>
              <wp:inline distT="0" distB="0" distL="114300" distR="114300">
                <wp:extent cx="304800" cy="304800"/>
                <wp:effectExtent l="0" t="0" r="0" b="0"/>
                <wp:docPr id="1" name="Прямоугольник 9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Прямоугольник 9" o:spid="_x0000_s1026" o:spt="1" alt="Picture background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HzJZ00gAAAAMBAAAPAAAAAAAAAAEAIAAA&#10;ACIAAABkcnMvZG93bnJldi54bWxQSwECFAAUAAAACACHTuJAjShyP9kBAACQAwAADgAAAAAAAAAB&#10;ACAAAAAhAQAAZHJzL2Uyb0RvYy54bWxQSwUGAAAAAAYABgBZAQAAbAUAAAAA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mc:AlternateContent>
          <mc:Choice Requires="wps">
            <w:drawing>
              <wp:inline distT="0" distB="0" distL="114300" distR="114300">
                <wp:extent cx="304800" cy="304800"/>
                <wp:effectExtent l="0" t="0" r="0" b="0"/>
                <wp:docPr id="3" name="Прямоугольник 10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Прямоугольник 10" o:spid="_x0000_s1026" o:spt="1" alt="Picture background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AfMlnTSAAAAAwEAAA8AAAAAAAAAAQAg&#10;AAAAIgAAAGRycy9kb3ducmV2LnhtbFBLAQIUABQAAAAIAIdO4kDU9Rt62wEAAJEDAAAOAAAAAAAA&#10;AAEAIAAAACEBAABkcnMvZTJvRG9jLnhtbFBLBQYAAAAABgAGAFkBAABuBQ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p w14:paraId="3C4DE843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  <w:u w:val="single"/>
          <w:shd w:val="clear" w:color="auto" w:fill="FFFFFF"/>
        </w:rPr>
        <w:t xml:space="preserve">- на левой руке (в середине плечевой зоны) закрепляется шеврон с логотипом. </w:t>
      </w:r>
    </w:p>
    <w:p w14:paraId="39E93DF7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  <w:r>
        <w:rPr>
          <w:sz w:val="28"/>
          <w:szCs w:val="28"/>
          <w:u w:val="single"/>
          <w:shd w:val="clear" w:color="auto" w:fill="FFFFFF"/>
        </w:rPr>
        <w:t>-обувь</w:t>
      </w:r>
      <w:r>
        <w:t xml:space="preserve"> </w:t>
      </w:r>
      <w:r>
        <w:rPr>
          <w:sz w:val="28"/>
          <w:szCs w:val="28"/>
          <w:u w:val="single"/>
          <w:shd w:val="clear" w:color="auto" w:fill="FFFFFF"/>
        </w:rPr>
        <w:t xml:space="preserve">с закрытым носком и закрытой пяткой </w:t>
      </w:r>
      <w:r>
        <w:rPr>
          <w:sz w:val="28"/>
          <w:szCs w:val="28"/>
          <w:shd w:val="clear" w:color="auto" w:fill="FFFFFF"/>
        </w:rPr>
        <w:t>(чистая), каблук не более 5 см. Эксперт должен быть хорошо устойчив в обуви, она должна быть удобна и комфортна. Обувь является частью профессионального дресс-кода и должна гармонично вписываться в общий вид.</w:t>
      </w:r>
    </w:p>
    <w:p w14:paraId="1135B0EA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  <w:r>
        <w:drawing>
          <wp:anchor distT="0" distB="0" distL="114300" distR="114300" simplePos="0" relativeHeight="25167360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290195</wp:posOffset>
            </wp:positionV>
            <wp:extent cx="716280" cy="716280"/>
            <wp:effectExtent l="0" t="0" r="7620" b="7620"/>
            <wp:wrapTight wrapText="bothSides">
              <wp:wrapPolygon>
                <wp:start x="0" y="0"/>
                <wp:lineTo x="0" y="21255"/>
                <wp:lineTo x="21255" y="21255"/>
                <wp:lineTo x="21255" y="0"/>
                <wp:lineTo x="0" y="0"/>
              </wp:wrapPolygon>
            </wp:wrapTight>
            <wp:docPr id="412291408" name="Рисунок 1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291408" name="Рисунок 1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628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shd w:val="clear" w:color="auto" w:fill="FFFFFF"/>
        </w:rPr>
        <w:t>Например:</w:t>
      </w:r>
    </w:p>
    <w:p w14:paraId="2A7C1AC7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  <w: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posOffset>2917190</wp:posOffset>
            </wp:positionH>
            <wp:positionV relativeFrom="paragraph">
              <wp:posOffset>74930</wp:posOffset>
            </wp:positionV>
            <wp:extent cx="792480" cy="792480"/>
            <wp:effectExtent l="0" t="0" r="7620" b="7620"/>
            <wp:wrapTight wrapText="bothSides">
              <wp:wrapPolygon>
                <wp:start x="2077" y="0"/>
                <wp:lineTo x="0" y="1038"/>
                <wp:lineTo x="0" y="20769"/>
                <wp:lineTo x="2077" y="21288"/>
                <wp:lineTo x="19212" y="21288"/>
                <wp:lineTo x="21288" y="20769"/>
                <wp:lineTo x="21288" y="1038"/>
                <wp:lineTo x="19212" y="0"/>
                <wp:lineTo x="2077" y="0"/>
              </wp:wrapPolygon>
            </wp:wrapTight>
            <wp:docPr id="1302372144" name="Рисунок 1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2372144" name="Рисунок 1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2480" cy="7924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margin">
              <wp:posOffset>4434840</wp:posOffset>
            </wp:positionH>
            <wp:positionV relativeFrom="paragraph">
              <wp:posOffset>215900</wp:posOffset>
            </wp:positionV>
            <wp:extent cx="770890" cy="617220"/>
            <wp:effectExtent l="0" t="0" r="0" b="0"/>
            <wp:wrapTight wrapText="bothSides">
              <wp:wrapPolygon>
                <wp:start x="0" y="0"/>
                <wp:lineTo x="0" y="20667"/>
                <wp:lineTo x="20817" y="20667"/>
                <wp:lineTo x="20817" y="0"/>
                <wp:lineTo x="0" y="0"/>
              </wp:wrapPolygon>
            </wp:wrapTight>
            <wp:docPr id="1448402385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402385" name="Рисунок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posOffset>1402080</wp:posOffset>
            </wp:positionH>
            <wp:positionV relativeFrom="paragraph">
              <wp:posOffset>116840</wp:posOffset>
            </wp:positionV>
            <wp:extent cx="858520" cy="571500"/>
            <wp:effectExtent l="0" t="0" r="0" b="0"/>
            <wp:wrapTight wrapText="bothSides">
              <wp:wrapPolygon>
                <wp:start x="1917" y="0"/>
                <wp:lineTo x="0" y="1440"/>
                <wp:lineTo x="0" y="20160"/>
                <wp:lineTo x="1917" y="20880"/>
                <wp:lineTo x="19172" y="20880"/>
                <wp:lineTo x="21089" y="20160"/>
                <wp:lineTo x="21089" y="1440"/>
                <wp:lineTo x="19172" y="0"/>
                <wp:lineTo x="1917" y="0"/>
              </wp:wrapPolygon>
            </wp:wrapTight>
            <wp:docPr id="734788702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788702" name="Рисунок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8520" cy="571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14:paraId="4B8D7286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</w:p>
    <w:p w14:paraId="6167C189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</w:p>
    <w:p w14:paraId="6A0AE28E">
      <w:pPr>
        <w:pStyle w:val="37"/>
        <w:spacing w:before="0" w:beforeAutospacing="0" w:after="0" w:afterAutospacing="0" w:line="276" w:lineRule="auto"/>
        <w:ind w:left="792"/>
        <w:jc w:val="both"/>
        <w:outlineLvl w:val="9"/>
        <w:rPr>
          <w:sz w:val="28"/>
          <w:szCs w:val="28"/>
        </w:rPr>
      </w:pPr>
    </w:p>
    <w:p w14:paraId="64BCE324">
      <w:pPr>
        <w:pStyle w:val="37"/>
        <w:numPr>
          <w:ilvl w:val="0"/>
          <w:numId w:val="4"/>
        </w:numPr>
        <w:spacing w:line="276" w:lineRule="auto"/>
        <w:jc w:val="both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Драгоценности в виде пары серег маленького размера (не более 1 пары) разрешается; </w:t>
      </w:r>
    </w:p>
    <w:p w14:paraId="30A0388A">
      <w:pPr>
        <w:pStyle w:val="37"/>
        <w:numPr>
          <w:ilvl w:val="0"/>
          <w:numId w:val="4"/>
        </w:numPr>
        <w:spacing w:line="276" w:lineRule="auto"/>
        <w:jc w:val="both"/>
        <w:outlineLvl w:val="9"/>
        <w:rPr>
          <w:sz w:val="28"/>
          <w:szCs w:val="28"/>
        </w:rPr>
      </w:pPr>
      <w:r>
        <w:rPr>
          <w:sz w:val="28"/>
          <w:szCs w:val="28"/>
        </w:rPr>
        <w:t>Религиозные украшения должны быть убраны под рабочую форму;</w:t>
      </w:r>
    </w:p>
    <w:p w14:paraId="580711B6">
      <w:pPr>
        <w:pStyle w:val="37"/>
        <w:numPr>
          <w:ilvl w:val="0"/>
          <w:numId w:val="4"/>
        </w:numPr>
        <w:spacing w:line="276" w:lineRule="auto"/>
        <w:jc w:val="both"/>
        <w:outlineLvl w:val="9"/>
        <w:rPr>
          <w:sz w:val="28"/>
          <w:szCs w:val="28"/>
        </w:rPr>
      </w:pPr>
      <w:r>
        <w:rPr>
          <w:sz w:val="28"/>
          <w:szCs w:val="28"/>
        </w:rPr>
        <w:t>Руки конкурсанта должны быть ухожены, приветствуется гигиенический маникюр. Можно использовать декоративное покрытие натуральных оттенков лак/гель-лак, поли-гель, акри-гель; часы/украшения на руке не допускаются;</w:t>
      </w:r>
    </w:p>
    <w:p w14:paraId="2FD67D7A">
      <w:pPr>
        <w:pStyle w:val="37"/>
        <w:numPr>
          <w:ilvl w:val="0"/>
          <w:numId w:val="4"/>
        </w:numPr>
        <w:spacing w:line="276" w:lineRule="auto"/>
        <w:jc w:val="both"/>
        <w:outlineLvl w:val="9"/>
        <w:rPr>
          <w:sz w:val="28"/>
          <w:szCs w:val="28"/>
        </w:rPr>
      </w:pPr>
      <w:r>
        <w:rPr>
          <w:sz w:val="28"/>
          <w:szCs w:val="28"/>
        </w:rPr>
        <w:t>Соблюдение гигиены тела. Не использовать резкие запахи парфюмерии. Не использовать жевательную резинку, конфеты;</w:t>
      </w:r>
    </w:p>
    <w:p w14:paraId="3E2EFD11">
      <w:pPr>
        <w:pStyle w:val="37"/>
        <w:numPr>
          <w:ilvl w:val="0"/>
          <w:numId w:val="4"/>
        </w:numPr>
        <w:spacing w:line="276" w:lineRule="auto"/>
        <w:jc w:val="both"/>
        <w:outlineLvl w:val="9"/>
        <w:rPr>
          <w:sz w:val="28"/>
          <w:szCs w:val="28"/>
        </w:rPr>
      </w:pPr>
      <w:r>
        <w:rPr>
          <w:sz w:val="28"/>
          <w:szCs w:val="28"/>
        </w:rPr>
        <w:t>Волосы чистые, аккуратно причесанные, закрепленные в прическу– не должны спадать на плечи или лицо; разрешены украшения в виде заколок, шпилек с бусинами;</w:t>
      </w:r>
    </w:p>
    <w:p w14:paraId="534C514E">
      <w:pPr>
        <w:pStyle w:val="37"/>
        <w:numPr>
          <w:ilvl w:val="0"/>
          <w:numId w:val="4"/>
        </w:numPr>
        <w:spacing w:line="276" w:lineRule="auto"/>
        <w:jc w:val="both"/>
        <w:outlineLvl w:val="9"/>
        <w:rPr>
          <w:sz w:val="28"/>
          <w:szCs w:val="28"/>
        </w:rPr>
      </w:pPr>
      <w:r>
        <w:rPr>
          <w:sz w:val="28"/>
          <w:szCs w:val="28"/>
        </w:rPr>
        <w:t>Рекомендован дневной или освежающий макияж подчеркивающий достоинства конкурсанта.</w:t>
      </w:r>
    </w:p>
    <w:p w14:paraId="0FDDADCF">
      <w:pPr>
        <w:pStyle w:val="37"/>
        <w:spacing w:before="0" w:beforeAutospacing="0" w:after="0" w:afterAutospacing="0" w:line="276" w:lineRule="auto"/>
        <w:ind w:left="709"/>
        <w:jc w:val="both"/>
        <w:outlineLvl w:val="9"/>
        <w:rPr>
          <w:sz w:val="28"/>
          <w:szCs w:val="28"/>
          <w:u w:val="single"/>
        </w:rPr>
      </w:pPr>
      <w:r>
        <w:rPr>
          <w:rFonts w:cs="Times New Roman"/>
          <w:i/>
          <w:iCs/>
          <w:color w:val="000000"/>
          <w:sz w:val="28"/>
          <w:szCs w:val="28"/>
          <w:u w:val="single"/>
        </w:rPr>
        <w:t>Требования к внешнему виду ТАП (технического администратора площадки)</w:t>
      </w:r>
    </w:p>
    <w:p w14:paraId="7318501C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  <w:r>
        <mc:AlternateContent>
          <mc:Choice Requires="wps">
            <w:drawing>
              <wp:inline distT="0" distB="0" distL="114300" distR="114300">
                <wp:extent cx="304800" cy="304800"/>
                <wp:effectExtent l="0" t="0" r="0" b="0"/>
                <wp:docPr id="4" name="Прямоугольник 8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Прямоугольник 8" o:spid="_x0000_s1026" o:spt="1" alt="Picture background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B8yWdNIAAAADAQAADwAAAAAAAAABACAA&#10;AAAiAAAAZHJzL2Rvd25yZXYueG1sUEsBAhQAFAAAAAgAh07iQNFPQYvaAQAAkAMAAA4AAAAAAAAA&#10;AQAgAAAAIQEAAGRycy9lMm9Eb2MueG1sUEsFBgAAAAAGAAYAWQEAAG0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rFonts w:cs="Times New Roman"/>
          <w:color w:val="000000"/>
          <w:sz w:val="28"/>
          <w:szCs w:val="28"/>
        </w:rPr>
        <w:t xml:space="preserve"> -  - брюки черного цвета, крой классический (не допускаются: манжеты, резинка внизу, палацио и др., не относящиеся к классике), с брюками нужно надевать носки/гольфы (под цвет брюк); </w:t>
      </w:r>
    </w:p>
    <w:p w14:paraId="0FB54A6E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  <w:r>
        <w:drawing>
          <wp:anchor distT="0" distB="0" distL="114300" distR="114300" simplePos="0" relativeHeight="251674624" behindDoc="1" locked="0" layoutInCell="1" allowOverlap="1">
            <wp:simplePos x="0" y="0"/>
            <wp:positionH relativeFrom="margin">
              <wp:posOffset>2263140</wp:posOffset>
            </wp:positionH>
            <wp:positionV relativeFrom="paragraph">
              <wp:posOffset>39370</wp:posOffset>
            </wp:positionV>
            <wp:extent cx="505460" cy="753745"/>
            <wp:effectExtent l="0" t="0" r="0" b="0"/>
            <wp:wrapTight wrapText="bothSides">
              <wp:wrapPolygon>
                <wp:start x="0" y="0"/>
                <wp:lineTo x="0" y="21291"/>
                <wp:lineTo x="21166" y="21291"/>
                <wp:lineTo x="21166" y="0"/>
                <wp:lineTo x="0" y="0"/>
              </wp:wrapPolygon>
            </wp:wrapTight>
            <wp:docPr id="141177577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775773" name="Рисунок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5460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BD20EE5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</w:p>
    <w:p w14:paraId="13416580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</w:p>
    <w:p w14:paraId="5831CB1D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</w:p>
    <w:p w14:paraId="41A8FB9B">
      <w:pPr>
        <w:pStyle w:val="37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  <w:u w:val="single"/>
        </w:rPr>
        <w:t>- футболка корпоративная</w:t>
      </w:r>
      <w:r>
        <w:rPr>
          <w:rFonts w:cs="Times New Roman"/>
          <w:color w:val="000000"/>
          <w:sz w:val="28"/>
          <w:szCs w:val="28"/>
        </w:rPr>
        <w:t xml:space="preserve"> (выдает Региональный оператор, цветовая гамма черная). Рукав может быть короткий и длинный. </w:t>
      </w:r>
    </w:p>
    <w:p w14:paraId="24CF1527">
      <w:pPr>
        <w:pStyle w:val="37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margin">
              <wp:posOffset>2033270</wp:posOffset>
            </wp:positionH>
            <wp:positionV relativeFrom="paragraph">
              <wp:posOffset>635</wp:posOffset>
            </wp:positionV>
            <wp:extent cx="1466850" cy="734060"/>
            <wp:effectExtent l="0" t="0" r="0" b="0"/>
            <wp:wrapTight wrapText="bothSides">
              <wp:wrapPolygon>
                <wp:start x="0" y="0"/>
                <wp:lineTo x="0" y="21301"/>
                <wp:lineTo x="21319" y="21301"/>
                <wp:lineTo x="21319" y="0"/>
                <wp:lineTo x="0" y="0"/>
              </wp:wrapPolygon>
            </wp:wrapTight>
            <wp:docPr id="67833939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339397" name="Рисунок 1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734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601399">
      <w:pPr>
        <w:pStyle w:val="37"/>
        <w:spacing w:before="0" w:beforeAutospacing="0" w:after="0" w:afterAutospacing="0" w:line="276" w:lineRule="auto"/>
        <w:ind w:left="709"/>
        <w:jc w:val="both"/>
        <w:outlineLvl w:val="9"/>
        <w:rPr>
          <w:sz w:val="28"/>
          <w:szCs w:val="28"/>
        </w:rPr>
      </w:pPr>
    </w:p>
    <w:p w14:paraId="767C2319">
      <w:pPr>
        <w:pStyle w:val="37"/>
        <w:spacing w:before="0" w:beforeAutospacing="0" w:after="0" w:afterAutospacing="0" w:line="276" w:lineRule="auto"/>
        <w:ind w:left="709"/>
        <w:jc w:val="both"/>
        <w:outlineLvl w:val="9"/>
        <w:rPr>
          <w:sz w:val="28"/>
          <w:szCs w:val="28"/>
        </w:rPr>
      </w:pPr>
    </w:p>
    <w:p w14:paraId="69F77052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u w:val="single"/>
          <w:shd w:val="clear" w:color="auto" w:fill="FFFFFF"/>
        </w:rPr>
      </w:pPr>
    </w:p>
    <w:p w14:paraId="2F46F6B7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  <w:r>
        <w:rPr>
          <w:sz w:val="28"/>
          <w:szCs w:val="28"/>
          <w:u w:val="single"/>
          <w:shd w:val="clear" w:color="auto" w:fill="FFFFFF"/>
        </w:rPr>
        <w:t xml:space="preserve">- -обувь с закрытым носком и закрытой пяткой (чистая), </w:t>
      </w:r>
      <w:r>
        <w:rPr>
          <w:sz w:val="28"/>
          <w:szCs w:val="28"/>
          <w:shd w:val="clear" w:color="auto" w:fill="FFFFFF"/>
        </w:rPr>
        <w:t xml:space="preserve">каблук не более 5 см. ТАП должен быть хорошо устойчив в обуви, она должна быть удобна и комфортна. Обувь является частью профессионального дресс-кода и должна гармонично вписываться в общий вид.          </w:t>
      </w:r>
    </w:p>
    <w:p w14:paraId="146C80FB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</w:p>
    <w:p w14:paraId="1A1E33F1">
      <w:pPr>
        <w:pStyle w:val="37"/>
        <w:spacing w:before="0" w:beforeAutospacing="0" w:after="0" w:afterAutospacing="0" w:line="276" w:lineRule="auto"/>
        <w:jc w:val="both"/>
        <w:outlineLvl w:val="9"/>
        <w:rPr>
          <w:rFonts w:cs="Times New Roman"/>
          <w:i/>
          <w:iCs/>
          <w:color w:val="000000"/>
          <w:sz w:val="28"/>
          <w:szCs w:val="28"/>
        </w:rPr>
      </w:pPr>
      <w:r>
        <w:rPr>
          <w:rFonts w:cs="Times New Roman"/>
          <w:i/>
          <w:iCs/>
          <w:color w:val="000000"/>
          <w:sz w:val="28"/>
          <w:szCs w:val="28"/>
        </w:rPr>
        <w:t>Требования к внешнему виду волонтера:</w:t>
      </w:r>
    </w:p>
    <w:p w14:paraId="2C1E0A8B">
      <w:pPr>
        <w:pStyle w:val="37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  <w:u w:val="single"/>
        </w:rPr>
        <w:t>- футболка корпоративная</w:t>
      </w:r>
      <w:r>
        <w:rPr>
          <w:rFonts w:cs="Times New Roman"/>
          <w:color w:val="000000"/>
          <w:sz w:val="28"/>
          <w:szCs w:val="28"/>
        </w:rPr>
        <w:t xml:space="preserve"> (выдает Региональный оператор, цветовая гамма серая). Рукав может быть короткий и длинный. </w:t>
      </w:r>
    </w:p>
    <w:p w14:paraId="64BE19D8">
      <w:pPr>
        <w:pStyle w:val="37"/>
        <w:spacing w:before="0" w:beforeAutospacing="0" w:after="0" w:afterAutospacing="0" w:line="276" w:lineRule="auto"/>
        <w:jc w:val="both"/>
        <w:outlineLvl w:val="9"/>
        <w:rPr>
          <w:rFonts w:cs="Times New Roman"/>
          <w:i/>
          <w:iCs/>
          <w:color w:val="000000"/>
          <w:sz w:val="28"/>
          <w:szCs w:val="28"/>
        </w:rPr>
      </w:pPr>
      <w:r>
        <w:rPr>
          <w:rFonts w:cs="Times New Roman"/>
          <w:i/>
          <w:iCs/>
          <w:color w:val="000000"/>
          <w:sz w:val="28"/>
          <w:szCs w:val="2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posOffset>1356995</wp:posOffset>
            </wp:positionH>
            <wp:positionV relativeFrom="paragraph">
              <wp:posOffset>160020</wp:posOffset>
            </wp:positionV>
            <wp:extent cx="1969770" cy="935990"/>
            <wp:effectExtent l="0" t="0" r="0" b="0"/>
            <wp:wrapTight wrapText="bothSides">
              <wp:wrapPolygon>
                <wp:start x="0" y="0"/>
                <wp:lineTo x="0" y="21102"/>
                <wp:lineTo x="21308" y="21102"/>
                <wp:lineTo x="21308" y="0"/>
                <wp:lineTo x="0" y="0"/>
              </wp:wrapPolygon>
            </wp:wrapTight>
            <wp:docPr id="142231924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319245" name="Рисунок 1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00"/>
                    <a:stretch>
                      <a:fillRect/>
                    </a:stretch>
                  </pic:blipFill>
                  <pic:spPr>
                    <a:xfrm>
                      <a:off x="0" y="0"/>
                      <a:ext cx="1969770" cy="93599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9BCFC6">
      <w:pPr>
        <w:pStyle w:val="37"/>
        <w:spacing w:before="0" w:beforeAutospacing="0" w:after="0" w:afterAutospacing="0" w:line="276" w:lineRule="auto"/>
        <w:jc w:val="both"/>
        <w:outlineLvl w:val="9"/>
        <w:rPr>
          <w:rFonts w:cs="Times New Roman"/>
          <w:i/>
          <w:iCs/>
          <w:color w:val="000000"/>
          <w:sz w:val="28"/>
          <w:szCs w:val="28"/>
        </w:rPr>
      </w:pPr>
    </w:p>
    <w:p w14:paraId="3307B9CF">
      <w:pPr>
        <w:pStyle w:val="37"/>
        <w:spacing w:before="0" w:beforeAutospacing="0" w:after="0" w:afterAutospacing="0" w:line="276" w:lineRule="auto"/>
        <w:jc w:val="both"/>
        <w:outlineLvl w:val="9"/>
        <w:rPr>
          <w:rFonts w:cs="Times New Roman"/>
          <w:i/>
          <w:iCs/>
          <w:color w:val="000000"/>
          <w:sz w:val="28"/>
          <w:szCs w:val="28"/>
        </w:rPr>
      </w:pPr>
    </w:p>
    <w:p w14:paraId="307AEEA6">
      <w:pPr>
        <w:pStyle w:val="37"/>
        <w:spacing w:before="0" w:beforeAutospacing="0" w:after="0" w:afterAutospacing="0" w:line="276" w:lineRule="auto"/>
        <w:jc w:val="both"/>
        <w:outlineLvl w:val="9"/>
        <w:rPr>
          <w:rFonts w:cs="Times New Roman"/>
          <w:i/>
          <w:iCs/>
          <w:color w:val="000000"/>
          <w:sz w:val="28"/>
          <w:szCs w:val="28"/>
        </w:rPr>
      </w:pPr>
    </w:p>
    <w:p w14:paraId="4AFD7305">
      <w:pPr>
        <w:pStyle w:val="37"/>
        <w:spacing w:before="0" w:beforeAutospacing="0" w:after="0" w:afterAutospacing="0" w:line="276" w:lineRule="auto"/>
        <w:jc w:val="both"/>
        <w:outlineLvl w:val="9"/>
        <w:rPr>
          <w:rFonts w:cs="Times New Roman"/>
          <w:i/>
          <w:iCs/>
          <w:color w:val="000000"/>
          <w:sz w:val="28"/>
          <w:szCs w:val="28"/>
        </w:rPr>
      </w:pPr>
    </w:p>
    <w:p w14:paraId="2AC5E861">
      <w:pPr>
        <w:pStyle w:val="37"/>
        <w:spacing w:before="0" w:beforeAutospacing="0" w:after="0" w:afterAutospacing="0" w:line="276" w:lineRule="auto"/>
        <w:jc w:val="both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     - джинсы синего/черного цвета. Крой классический, поверхность джинс цельная.</w:t>
      </w:r>
    </w:p>
    <w:p w14:paraId="313B3671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79352133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00603D2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Конкурсанты обязаны соблюдать режим дня действующие на Чемпионате,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392604C0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677E6188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 и могут быть дисквалифицированы.</w:t>
      </w:r>
    </w:p>
    <w:p w14:paraId="1480461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712BD90A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2F1CA5CB">
      <w:pPr>
        <w:keepNext/>
        <w:keepLines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093F30BD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</w:p>
    <w:p w14:paraId="258E2EFB">
      <w:pPr>
        <w:pStyle w:val="37"/>
        <w:numPr>
          <w:ilvl w:val="0"/>
          <w:numId w:val="5"/>
        </w:numPr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день Д-2 (день эксперта) и Д-1 (день конкурсанта)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7F40C8E2">
      <w:pPr>
        <w:pStyle w:val="37"/>
        <w:numPr>
          <w:ilvl w:val="0"/>
          <w:numId w:val="5"/>
        </w:numPr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Проверить наличие рабочей одежды, обуви (профессиональный дресс-код) и др. средств индивидуальной защиты. Использовать необходимые средства защиты для выполнения подготовки рабочих мест, инструменты и оборудование, косметические и химические препараты.</w:t>
      </w:r>
    </w:p>
    <w:p w14:paraId="5E96B5FF">
      <w:pPr>
        <w:pStyle w:val="37"/>
        <w:numPr>
          <w:ilvl w:val="0"/>
          <w:numId w:val="5"/>
        </w:numPr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 на рабочей-конкурсной площадке, подписав протокол прохождения инструктажа по форме, определенной Оргкомитетом чемпионата. </w:t>
      </w:r>
    </w:p>
    <w:p w14:paraId="1C4005F1">
      <w:pPr>
        <w:pStyle w:val="37"/>
        <w:spacing w:after="0"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рабочее место:</w:t>
      </w:r>
    </w:p>
    <w:p w14:paraId="49B4D5FB">
      <w:pPr>
        <w:pStyle w:val="37"/>
        <w:spacing w:after="0"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-проверить состояние и исправность оборудования и инструмента; </w:t>
      </w:r>
    </w:p>
    <w:p w14:paraId="43086886">
      <w:pPr>
        <w:pStyle w:val="37"/>
        <w:spacing w:after="0"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произвести подключение к сети и настройку оборудования;</w:t>
      </w:r>
    </w:p>
    <w:p w14:paraId="1F1F0B7F">
      <w:pPr>
        <w:pStyle w:val="37"/>
        <w:spacing w:after="0"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проверить, чтобы электропроводка была целой, надежно изолированной (от возможного доступа воды) и закрепленной. Провода (провода удлинителей) должны быть убраны в специальные каналы (короба) или закреплены и находится в местах мало доступных местах;</w:t>
      </w:r>
    </w:p>
    <w:p w14:paraId="5E6B4DD4">
      <w:pPr>
        <w:pStyle w:val="37"/>
        <w:spacing w:after="0"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отрегулировать освещенность на рабочем месте, убедиться в достаточной освещенности, при необходимости, установить лампу местного освещения или потребовать замены ламп на более яркие (или заменить перегоревшие);</w:t>
      </w:r>
    </w:p>
    <w:p w14:paraId="720247E8">
      <w:pPr>
        <w:pStyle w:val="37"/>
        <w:spacing w:after="0"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проверить исправность электровилок, розеток, кабелей (шнуров) электропитания используемых электроаппаратов (отсутствие оголенных участков, перегибов и скручивания питающих подводящих проводов);</w:t>
      </w:r>
    </w:p>
    <w:p w14:paraId="5B83E9F1">
      <w:pPr>
        <w:pStyle w:val="37"/>
        <w:spacing w:after="0"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проверить исправность и устойчивость педикюрного кресла, убедиться, что легко регулируется, подставки для ног фиксируется; отрегулировать высоту педикюрного кресла, с учетом анатомических особенностей клиента;</w:t>
      </w:r>
    </w:p>
    <w:p w14:paraId="3576D581">
      <w:pPr>
        <w:pStyle w:val="37"/>
        <w:spacing w:after="0"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при необходимости отрегулировать углы наклона спинки и сиденья стула мастера для работы в удобной рабочей позе;</w:t>
      </w:r>
    </w:p>
    <w:p w14:paraId="22F33D3E">
      <w:pPr>
        <w:pStyle w:val="37"/>
        <w:spacing w:after="0"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убедиться в плотном прилегание крышек на флаконах, маркировке емкостей с растворами дезинфицирующих средств и других жидкостей, препаратов. </w:t>
      </w:r>
    </w:p>
    <w:p w14:paraId="7E9B3F5D">
      <w:pPr>
        <w:pStyle w:val="37"/>
        <w:spacing w:after="0"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-проверить средства индивидуальной защиты. </w:t>
      </w:r>
    </w:p>
    <w:p w14:paraId="45E64198">
      <w:pPr>
        <w:pStyle w:val="37"/>
        <w:numPr>
          <w:ilvl w:val="0"/>
          <w:numId w:val="5"/>
        </w:numPr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инструмент и оборудование, разрешенное к самостоятельной работе:</w:t>
      </w:r>
    </w:p>
    <w:tbl>
      <w:tblPr>
        <w:tblStyle w:val="12"/>
        <w:tblW w:w="0" w:type="auto"/>
        <w:tblCellSpacing w:w="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  <w:gridCol w:w="5107"/>
      </w:tblGrid>
      <w:tr w14:paraId="5CCE8C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4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16F9E8">
            <w:pPr>
              <w:pStyle w:val="37"/>
              <w:spacing w:after="0" w:line="240" w:lineRule="auto"/>
              <w:jc w:val="both"/>
            </w:pPr>
            <w:r>
              <w:rPr>
                <w:b/>
                <w:bCs/>
              </w:rPr>
              <w:t>Наименование инструмента или оборудования</w:t>
            </w:r>
          </w:p>
        </w:tc>
        <w:tc>
          <w:tcPr>
            <w:tcW w:w="5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F1669A">
            <w:pPr>
              <w:pStyle w:val="37"/>
              <w:spacing w:after="0" w:line="240" w:lineRule="auto"/>
              <w:jc w:val="both"/>
            </w:pPr>
            <w:r>
              <w:rPr>
                <w:b/>
                <w:bCs/>
              </w:rPr>
              <w:t>Правила подготовки к выполнению конкурсного задания</w:t>
            </w:r>
          </w:p>
        </w:tc>
      </w:tr>
      <w:tr w14:paraId="216377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4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92C04C">
            <w:pPr>
              <w:pStyle w:val="37"/>
              <w:spacing w:after="0" w:line="240" w:lineRule="auto"/>
              <w:jc w:val="both"/>
            </w:pPr>
            <w:r>
              <w:t>Кусачки для кутикулы</w:t>
            </w:r>
          </w:p>
          <w:p w14:paraId="7E509CA9">
            <w:pPr>
              <w:pStyle w:val="37"/>
              <w:spacing w:after="0" w:line="240" w:lineRule="auto"/>
              <w:jc w:val="both"/>
            </w:pPr>
            <w:r>
              <w:t>Кусачки для ногтей</w:t>
            </w:r>
          </w:p>
          <w:p w14:paraId="098A1F15">
            <w:pPr>
              <w:pStyle w:val="37"/>
              <w:spacing w:after="0" w:line="240" w:lineRule="auto"/>
              <w:jc w:val="both"/>
            </w:pPr>
            <w:r>
              <w:t>Пушер металлический</w:t>
            </w:r>
          </w:p>
          <w:p w14:paraId="47F353B6">
            <w:pPr>
              <w:pStyle w:val="37"/>
              <w:spacing w:after="0" w:line="240" w:lineRule="auto"/>
              <w:jc w:val="both"/>
            </w:pPr>
            <w:r>
              <w:t>Экскаватор (медицинский)</w:t>
            </w:r>
          </w:p>
          <w:p w14:paraId="3914FB69">
            <w:pPr>
              <w:pStyle w:val="37"/>
              <w:spacing w:after="0" w:line="240" w:lineRule="auto"/>
              <w:jc w:val="both"/>
            </w:pPr>
            <w:r>
              <w:t>Лоток металлический</w:t>
            </w:r>
          </w:p>
        </w:tc>
        <w:tc>
          <w:tcPr>
            <w:tcW w:w="5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13B621">
            <w:pPr>
              <w:pStyle w:val="37"/>
              <w:spacing w:after="0" w:line="240" w:lineRule="auto"/>
              <w:jc w:val="both"/>
            </w:pPr>
            <w:r>
              <w:t xml:space="preserve">Подлежат обязательной дезинфекции: пред стерилизационной очистке (УЗ камера, емкость для дезинфекции), упаковке в крафт-пакет (на пакете пишется дата и время стерилизации, ставится подпись кто проводил обработку), стерилизация. </w:t>
            </w:r>
          </w:p>
        </w:tc>
      </w:tr>
      <w:tr w14:paraId="68311B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4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B2A9EB">
            <w:pPr>
              <w:pStyle w:val="37"/>
              <w:spacing w:after="0" w:line="240" w:lineRule="auto"/>
              <w:jc w:val="both"/>
            </w:pPr>
            <w:r>
              <w:t>Керамическая пилка –камень</w:t>
            </w:r>
          </w:p>
          <w:p w14:paraId="3E7A0C9E">
            <w:pPr>
              <w:pStyle w:val="37"/>
              <w:spacing w:after="0" w:line="240" w:lineRule="auto"/>
              <w:jc w:val="both"/>
            </w:pPr>
            <w:r>
              <w:t>Пушер пластиковый</w:t>
            </w:r>
          </w:p>
          <w:p w14:paraId="57980A3C">
            <w:pPr>
              <w:pStyle w:val="37"/>
              <w:spacing w:after="0" w:line="240" w:lineRule="auto"/>
              <w:jc w:val="both"/>
            </w:pPr>
            <w:r>
              <w:t>Кисти для дизайна </w:t>
            </w:r>
          </w:p>
          <w:p w14:paraId="372C0453">
            <w:pPr>
              <w:pStyle w:val="37"/>
              <w:spacing w:after="0" w:line="240" w:lineRule="auto"/>
              <w:jc w:val="both"/>
            </w:pPr>
            <w:r>
              <w:t>Кисти для моделирования (укрепления) ногтей</w:t>
            </w:r>
          </w:p>
        </w:tc>
        <w:tc>
          <w:tcPr>
            <w:tcW w:w="5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46E658">
            <w:pPr>
              <w:pStyle w:val="37"/>
              <w:shd w:val="clear" w:color="auto" w:fill="FFFFFF"/>
              <w:spacing w:after="0" w:line="240" w:lineRule="auto"/>
              <w:jc w:val="both"/>
            </w:pPr>
            <w:r>
              <w:t>Дезинфицируются, промываются, просушиваются лоток с крышкой</w:t>
            </w:r>
          </w:p>
          <w:p w14:paraId="0941953D">
            <w:pPr>
              <w:pStyle w:val="37"/>
              <w:shd w:val="clear" w:color="auto" w:fill="FFFFFF"/>
              <w:spacing w:after="0" w:line="240" w:lineRule="auto"/>
              <w:jc w:val="both"/>
            </w:pPr>
            <w:r>
              <w:t>Промываются, просушиваются и закрывается в футляр</w:t>
            </w:r>
          </w:p>
          <w:p w14:paraId="3ADF1F87">
            <w:pPr>
              <w:spacing w:line="240" w:lineRule="auto"/>
            </w:pPr>
          </w:p>
        </w:tc>
      </w:tr>
      <w:tr w14:paraId="4CE026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tblCellSpacing w:w="0" w:type="dxa"/>
        </w:trPr>
        <w:tc>
          <w:tcPr>
            <w:tcW w:w="4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0AB50F">
            <w:pPr>
              <w:pStyle w:val="37"/>
              <w:spacing w:after="0" w:line="240" w:lineRule="auto"/>
              <w:jc w:val="both"/>
            </w:pPr>
            <w:r>
              <w:t>Пилка-шлифовщик</w:t>
            </w:r>
          </w:p>
          <w:p w14:paraId="3AAD220D">
            <w:pPr>
              <w:pStyle w:val="37"/>
              <w:spacing w:after="0" w:line="240" w:lineRule="auto"/>
              <w:jc w:val="both"/>
            </w:pPr>
            <w:r>
              <w:t>Пилка для натуральных ногтей</w:t>
            </w:r>
          </w:p>
          <w:p w14:paraId="64B40302">
            <w:pPr>
              <w:pStyle w:val="37"/>
              <w:spacing w:after="0" w:line="240" w:lineRule="auto"/>
              <w:jc w:val="both"/>
            </w:pPr>
            <w:r>
              <w:t>Пилка для искусственных ногтей</w:t>
            </w:r>
          </w:p>
          <w:p w14:paraId="2F1D7DEF">
            <w:pPr>
              <w:pStyle w:val="37"/>
              <w:spacing w:after="0" w:line="240" w:lineRule="auto"/>
              <w:jc w:val="both"/>
            </w:pPr>
            <w:r>
              <w:t xml:space="preserve">Шлифовщик </w:t>
            </w:r>
          </w:p>
          <w:p w14:paraId="5A431A77">
            <w:pPr>
              <w:pStyle w:val="37"/>
              <w:spacing w:after="0" w:line="240" w:lineRule="auto"/>
              <w:jc w:val="both"/>
            </w:pPr>
            <w:r>
              <w:t xml:space="preserve">Полировщик </w:t>
            </w:r>
          </w:p>
        </w:tc>
        <w:tc>
          <w:tcPr>
            <w:tcW w:w="5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D4E1F2">
            <w:pPr>
              <w:pStyle w:val="37"/>
              <w:shd w:val="clear" w:color="auto" w:fill="FFFFFF"/>
              <w:spacing w:after="0" w:line="240" w:lineRule="auto"/>
              <w:jc w:val="both"/>
            </w:pPr>
            <w:r>
              <w:t>Только новые</w:t>
            </w:r>
          </w:p>
        </w:tc>
      </w:tr>
    </w:tbl>
    <w:p w14:paraId="2F5BA36F">
      <w:pPr>
        <w:pStyle w:val="37"/>
        <w:numPr>
          <w:ilvl w:val="0"/>
          <w:numId w:val="5"/>
        </w:numPr>
        <w:spacing w:before="24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Препараты и оборудование, принимающей стороной при выполнение конкурсных заданий подготавливает ТАП (технический администратор площадки), согласовывая с Главным/Индустриальным экспертом. Другие эксперты могут принимать посильное участие в подготовке под непосредственным руководством и в присутствии ответственного лица. Экспертная группа и конкурсанты руководствуются списком разрешенного и не разрешенного инструмента из КЗ. Проверку привезенных с собой конкурсантом инструментов осуществляет уполномоченный эксперт, с занесением информации в протокол.</w:t>
      </w:r>
    </w:p>
    <w:p w14:paraId="3C3B00F9">
      <w:pPr>
        <w:pStyle w:val="37"/>
        <w:numPr>
          <w:ilvl w:val="0"/>
          <w:numId w:val="5"/>
        </w:numPr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день проведения конкурса, ознакомится с содержанием конкурсного задания/частей модуля. </w:t>
      </w:r>
    </w:p>
    <w:p w14:paraId="6E1C63B0">
      <w:pPr>
        <w:pStyle w:val="37"/>
        <w:numPr>
          <w:ilvl w:val="0"/>
          <w:numId w:val="5"/>
        </w:numPr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необходимые для работы материалы, препараты, приспособления, и разложить их на свои места, убрать с рабочего стола все лишнее, проверить простерилизованный инструмент (целостность упаковки, измененный в цвете индикатор, дату, время, перечень инструментов и подпись кто проводил стерилизацию).</w:t>
      </w:r>
    </w:p>
    <w:p w14:paraId="4C63F8B0">
      <w:pPr>
        <w:pStyle w:val="37"/>
        <w:numPr>
          <w:ilvl w:val="0"/>
          <w:numId w:val="5"/>
        </w:numPr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модели-волонтеры заранее проходят проверку на наличие аллергии и патологические реакции на препараты под наблюдением ответственного эксперта перед началом соревнований, в день Д-1 (за 1 день до начала соревнований). Моделей-волонтеров рекомендуется подготавливать заранее (за 1 мес. До проведения чемпионата). Все требования к моделям по видам работ прописаны в КЗ. </w:t>
      </w:r>
    </w:p>
    <w:p w14:paraId="0BEF6DC7">
      <w:pPr>
        <w:pStyle w:val="37"/>
        <w:numPr>
          <w:ilvl w:val="0"/>
          <w:numId w:val="5"/>
        </w:numPr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Все косметические препараты должны иметь сертификаты на русском языке/декларации соответствия на русском языке. Косметические средства проверяются Главным экспертом/РГО/ТАП на предмет наличия маркировки, целостности упаковки и действующих сроков годности.</w:t>
      </w:r>
    </w:p>
    <w:p w14:paraId="3FF39E9B">
      <w:pPr>
        <w:pStyle w:val="37"/>
        <w:numPr>
          <w:ilvl w:val="0"/>
          <w:numId w:val="5"/>
        </w:numPr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Все используемые дезинфицирующие и антисептические средства, используемые на чемпионатной площадке, должны быть зарегистрированы в реестре дезинфицирующих средств (</w:t>
      </w:r>
      <w:r>
        <w:fldChar w:fldCharType="begin"/>
      </w:r>
      <w:r>
        <w:instrText xml:space="preserve"> HYPERLINK "https://dezr.ru/" </w:instrText>
      </w:r>
      <w:r>
        <w:fldChar w:fldCharType="separate"/>
      </w:r>
      <w:r>
        <w:rPr>
          <w:rStyle w:val="16"/>
          <w:sz w:val="28"/>
          <w:szCs w:val="28"/>
        </w:rPr>
        <w:t>https://dezr.ru/</w:t>
      </w:r>
      <w:r>
        <w:rPr>
          <w:rStyle w:val="16"/>
          <w:sz w:val="28"/>
          <w:szCs w:val="28"/>
        </w:rPr>
        <w:fldChar w:fldCharType="end"/>
      </w:r>
      <w:r>
        <w:rPr>
          <w:sz w:val="28"/>
          <w:szCs w:val="28"/>
        </w:rPr>
        <w:t xml:space="preserve">) </w:t>
      </w:r>
    </w:p>
    <w:p w14:paraId="4CDCF002">
      <w:pPr>
        <w:pStyle w:val="37"/>
        <w:numPr>
          <w:ilvl w:val="0"/>
          <w:numId w:val="5"/>
        </w:numPr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Несоблюдение конкурсантом норм и правил ОТ и ТБ ведет к потере баллов. Постоянное нарушение норм безопасности может привести к временному отстранению конкурсанта от выполнения работы, о чем составляется протокол.</w:t>
      </w:r>
    </w:p>
    <w:p w14:paraId="41980FA6">
      <w:pPr>
        <w:pStyle w:val="37"/>
        <w:numPr>
          <w:ilvl w:val="0"/>
          <w:numId w:val="5"/>
        </w:numPr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Покидать чемпионатную площадку экспертам можно только с разрешения Главного эксперта. </w:t>
      </w:r>
    </w:p>
    <w:p w14:paraId="2AA5F03F">
      <w:pPr>
        <w:pStyle w:val="205"/>
        <w:numPr>
          <w:ilvl w:val="0"/>
          <w:numId w:val="5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Покидать конкурсную площадку конкурсантам можно только с разрешения Главного эксперта. </w:t>
      </w:r>
    </w:p>
    <w:p w14:paraId="7C4213EA">
      <w:pPr>
        <w:pStyle w:val="205"/>
        <w:numPr>
          <w:ilvl w:val="0"/>
          <w:numId w:val="5"/>
        </w:numPr>
        <w:rPr>
          <w:rFonts w:eastAsia="Times New Roman"/>
          <w:sz w:val="28"/>
          <w:szCs w:val="28"/>
        </w:rPr>
      </w:pPr>
    </w:p>
    <w:p w14:paraId="4E61A559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4.2. Конкурсант не должен приступать к работе при следующих нарушениях требований безопасности:</w:t>
      </w:r>
    </w:p>
    <w:p w14:paraId="00DF3640">
      <w:pPr>
        <w:pStyle w:val="205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-нарушена целостность проводов, наблюдается неисправность розеток/аппаратов, не соответствие препаратов, оборудования, инструментов и аксессуаров, заявленных в ИЛ (технические характеристики);</w:t>
      </w:r>
    </w:p>
    <w:p w14:paraId="78985FBA">
      <w:pPr>
        <w:pStyle w:val="205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-провода разбросаны по полу, а не убраны в специальные короба или не закреплены;</w:t>
      </w:r>
    </w:p>
    <w:p w14:paraId="4C0ADB28">
      <w:pPr>
        <w:pStyle w:val="205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-отсутствует медицинская/санитарная книжка/справка;</w:t>
      </w:r>
    </w:p>
    <w:p w14:paraId="28F72218">
      <w:pPr>
        <w:pStyle w:val="205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-отсутствие оснащенного рабочего места, согласно ИЛ;</w:t>
      </w:r>
    </w:p>
    <w:p w14:paraId="66EB0E91">
      <w:pPr>
        <w:pStyle w:val="205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-отсутствие профессиональных инструментов и препаратов;</w:t>
      </w:r>
    </w:p>
    <w:p w14:paraId="26DA047A">
      <w:pPr>
        <w:pStyle w:val="205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-отсутствие мокрой точки в зоне проведения соревнований.</w:t>
      </w:r>
    </w:p>
    <w:p w14:paraId="15D749AC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администратору площадки (ТАП) и до устранения неполадок к конкурсному заданию не приступать.</w:t>
      </w:r>
    </w:p>
    <w:p w14:paraId="3506F9E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4.4. ГЭ согласовывает с главным индустриальным экспертом компетенции, готовность экспертного сообщества, при наличии документа о профессиональной подготовке, квалификации по направлению «Ногтевой сервис», медицинской/санитарной книжки за текущий год с действующим сроком на момент проведения чемпионата. Согласование проводится минимум за 5 дней до начала соревнований.</w:t>
      </w:r>
    </w:p>
    <w:p w14:paraId="1529E125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D239EC0">
      <w:pPr>
        <w:keepNext/>
        <w:keepLines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выполнения конкурсных заданий </w:t>
      </w:r>
    </w:p>
    <w:p w14:paraId="5C5B9830">
      <w:pPr>
        <w:keepNext/>
        <w:keepLines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</w:p>
    <w:p w14:paraId="28F310B2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6D02ED1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tbl>
      <w:tblPr>
        <w:tblStyle w:val="12"/>
        <w:tblW w:w="5000" w:type="pct"/>
        <w:tblCellSpacing w:w="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8"/>
        <w:gridCol w:w="5079"/>
      </w:tblGrid>
      <w:tr w14:paraId="1E4818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2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77E5CC">
            <w:pPr>
              <w:pStyle w:val="37"/>
              <w:spacing w:after="0"/>
              <w:jc w:val="center"/>
            </w:pPr>
            <w:r>
              <w:rPr>
                <w:b/>
                <w:bCs/>
              </w:rPr>
              <w:t>Наименование инструмента/ оборудования</w:t>
            </w:r>
          </w:p>
        </w:tc>
        <w:tc>
          <w:tcPr>
            <w:tcW w:w="2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4A90A5">
            <w:pPr>
              <w:pStyle w:val="37"/>
              <w:spacing w:after="0"/>
              <w:jc w:val="center"/>
            </w:pPr>
            <w:r>
              <w:rPr>
                <w:b/>
                <w:bCs/>
              </w:rPr>
              <w:t>Требования безопасности</w:t>
            </w:r>
          </w:p>
        </w:tc>
      </w:tr>
      <w:tr w14:paraId="56228D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9" w:hRule="atLeast"/>
          <w:tblCellSpacing w:w="0" w:type="dxa"/>
        </w:trPr>
        <w:tc>
          <w:tcPr>
            <w:tcW w:w="2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44730E">
            <w:pPr>
              <w:pStyle w:val="37"/>
              <w:spacing w:after="0"/>
              <w:jc w:val="both"/>
            </w:pPr>
            <w:r>
              <w:t>Кусачки для ногтей,</w:t>
            </w:r>
          </w:p>
          <w:p w14:paraId="69584211">
            <w:pPr>
              <w:pStyle w:val="37"/>
              <w:spacing w:after="0"/>
              <w:jc w:val="both"/>
            </w:pPr>
            <w:r>
              <w:t>Кусачки для кутикулы,</w:t>
            </w:r>
          </w:p>
          <w:p w14:paraId="4CFE65A0">
            <w:pPr>
              <w:pStyle w:val="37"/>
              <w:spacing w:after="0"/>
              <w:jc w:val="both"/>
            </w:pPr>
            <w:r>
              <w:t>Катор/типсорез,</w:t>
            </w:r>
          </w:p>
          <w:p w14:paraId="0442E3F7">
            <w:pPr>
              <w:pStyle w:val="37"/>
              <w:spacing w:after="0"/>
              <w:jc w:val="both"/>
            </w:pPr>
            <w:r>
              <w:t>Пушер металлический, пластиковый</w:t>
            </w:r>
          </w:p>
          <w:p w14:paraId="25B6ED06">
            <w:pPr>
              <w:pStyle w:val="37"/>
              <w:spacing w:after="0"/>
              <w:jc w:val="both"/>
            </w:pPr>
            <w:r>
              <w:t>Экскаватор,</w:t>
            </w:r>
          </w:p>
          <w:p w14:paraId="44D8921C">
            <w:pPr>
              <w:pStyle w:val="37"/>
              <w:spacing w:after="0"/>
              <w:jc w:val="both"/>
            </w:pPr>
          </w:p>
        </w:tc>
        <w:tc>
          <w:tcPr>
            <w:tcW w:w="2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C57007">
            <w:pPr>
              <w:pStyle w:val="37"/>
              <w:spacing w:after="0"/>
              <w:jc w:val="both"/>
            </w:pPr>
            <w:r>
              <w:t xml:space="preserve">Рациональное расположение колюще режущего инструмента находящегося в руках мастера. Правильное расположение лотков (для чистого и использованного инструмента). </w:t>
            </w:r>
          </w:p>
        </w:tc>
      </w:tr>
      <w:tr w14:paraId="013D32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2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91346F">
            <w:pPr>
              <w:pStyle w:val="37"/>
              <w:spacing w:after="0"/>
              <w:jc w:val="both"/>
            </w:pPr>
            <w:r>
              <w:t>Аппарат для разогрева парафина</w:t>
            </w:r>
          </w:p>
        </w:tc>
        <w:tc>
          <w:tcPr>
            <w:tcW w:w="2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D230E3">
            <w:pPr>
              <w:pStyle w:val="37"/>
              <w:spacing w:after="0"/>
              <w:jc w:val="both"/>
            </w:pPr>
            <w:r>
              <w:t>Убедиться в исправности парафиноплава; Убедиться в целостности электропровода.</w:t>
            </w:r>
          </w:p>
        </w:tc>
      </w:tr>
    </w:tbl>
    <w:p w14:paraId="1BF07C11">
      <w:pPr>
        <w:pStyle w:val="37"/>
        <w:spacing w:before="24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 При подготовке к выполнению конкурсных заданий:</w:t>
      </w:r>
    </w:p>
    <w:p w14:paraId="06D58DCE">
      <w:pPr>
        <w:pStyle w:val="37"/>
        <w:spacing w:before="24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обезопасить руки от воздействия химических препаратов;</w:t>
      </w:r>
    </w:p>
    <w:p w14:paraId="195775DE">
      <w:pPr>
        <w:pStyle w:val="37"/>
        <w:spacing w:before="24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провести санитарную обработку рабочей зоны;</w:t>
      </w:r>
    </w:p>
    <w:p w14:paraId="29FC2A7B">
      <w:pPr>
        <w:pStyle w:val="37"/>
        <w:spacing w:before="24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подготовить емкость для сбора мусора на рабочем месте;</w:t>
      </w:r>
    </w:p>
    <w:p w14:paraId="1240872C">
      <w:pPr>
        <w:pStyle w:val="37"/>
        <w:spacing w:before="24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все использованные вспомогательные расходные материалы, утилизируются в мусорную корзину;</w:t>
      </w:r>
    </w:p>
    <w:p w14:paraId="38FB463D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5696DE10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поддерживать порядок и чистоту на рабочем месте, в начале, на протяжении оказания всей услуги и по завершению;</w:t>
      </w:r>
    </w:p>
    <w:p w14:paraId="027A002D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необходимости использовать антисептик;</w:t>
      </w:r>
    </w:p>
    <w:p w14:paraId="5BD3B101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используемый инструмент рационально располагается в рабочей зоне;</w:t>
      </w:r>
    </w:p>
    <w:p w14:paraId="12AC1C22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выполнять конкурсные задания профессиональным инструментом, подготовленным и обработанным в соответствии СанПином;</w:t>
      </w:r>
    </w:p>
    <w:p w14:paraId="58BA2987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использованный в работе расходный материал помещать в мусорную емкость, расположенную на столе и по мере заполнения утилизировать в мусорное ведро, расположенное на полу;</w:t>
      </w:r>
    </w:p>
    <w:p w14:paraId="5C4A60CE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конкурсант использует одноразовые шпатели при наполнении индивидуальной емкости в соответствии с нормами расхода; </w:t>
      </w:r>
    </w:p>
    <w:p w14:paraId="38C5BC19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выполнении всех видов работ использовать одноразовые расходные материалы для каждого клиента;</w:t>
      </w:r>
    </w:p>
    <w:p w14:paraId="3137F136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все химические препараты держать в плотно закрытых емкостях (закрывать после использования);</w:t>
      </w:r>
    </w:p>
    <w:p w14:paraId="42A9387E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использовании химических препаратов открывать их аккуратно и не подносить к слизистым поверхностям;</w:t>
      </w:r>
    </w:p>
    <w:p w14:paraId="2B368177">
      <w:pPr>
        <w:pStyle w:val="37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рабочая зона обрабатывается экспресс-дезинфектором до начала процедуры и по окончанию;</w:t>
      </w:r>
    </w:p>
    <w:p w14:paraId="62022CFF">
      <w:pPr>
        <w:pStyle w:val="37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одноразовые перчатки применяются:</w:t>
      </w:r>
    </w:p>
    <w:p w14:paraId="1B1D1DB0">
      <w:pPr>
        <w:pStyle w:val="37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для обработки рабочей зоны;</w:t>
      </w:r>
    </w:p>
    <w:p w14:paraId="6D0041A9">
      <w:pPr>
        <w:pStyle w:val="37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нарушении целостности кожных покровов клиента;</w:t>
      </w:r>
    </w:p>
    <w:p w14:paraId="6F857D78">
      <w:pPr>
        <w:pStyle w:val="37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выполнении классический маникюр/педикюр (по необходимости);</w:t>
      </w:r>
    </w:p>
    <w:p w14:paraId="78234AAF">
      <w:pPr>
        <w:pStyle w:val="37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выполнении аппаратных технологий.</w:t>
      </w:r>
    </w:p>
    <w:p w14:paraId="2825DFA6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 Эргономика:</w:t>
      </w:r>
    </w:p>
    <w:p w14:paraId="68AD46C8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соблюдать комфортное расположение клиента и мастера;</w:t>
      </w:r>
    </w:p>
    <w:p w14:paraId="02F4FEF9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рационально размещать инструменты и препараты на рабочем столе (педикюрная тележка/косметический столик); </w:t>
      </w:r>
    </w:p>
    <w:p w14:paraId="530F6C13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размещать с комфортом клиента, согласно его индивидуальным особенностям;</w:t>
      </w:r>
    </w:p>
    <w:p w14:paraId="3A97FA2E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перемещаться на конкурсной площадке аккуратно (не бегать), не наталкиваться на других участников, не задевать края мебели и провода;</w:t>
      </w:r>
    </w:p>
    <w:p w14:paraId="3BFB78C6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завершению конкурсного задания, рабочее место и рабочие поверхности должны быть без остатков следов выполненной работы; </w:t>
      </w:r>
    </w:p>
    <w:p w14:paraId="2618F1A8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содержать рабочее место в чистоте;</w:t>
      </w:r>
    </w:p>
    <w:p w14:paraId="0FBEAA19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при работе с мокрой точкой открывать аккуратно краны с горячей и холодной водой, без рывков и больших усилий;</w:t>
      </w:r>
    </w:p>
    <w:p w14:paraId="70150008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-включать и выключать электроприборы, аппарат для разогревания парафина, настольную лампу сухими руками. При выключении электро-вилки из розетки держаться за корпус вилки, не дергать за подводящий провод.</w:t>
      </w:r>
    </w:p>
    <w:p w14:paraId="60BDA8EE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 При неисправности инструмента и оборудования – прекратить выполнение конкурсного задания и сообщить об этом Главному эксперту, а в его отсутствие ТАП/Индустриальному эксперту.</w:t>
      </w:r>
    </w:p>
    <w:p w14:paraId="4E39AFAE">
      <w:pPr>
        <w:keepNext/>
        <w:keepLines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jc w:val="center"/>
        <w:rPr>
          <w:rFonts w:ascii="Cambria" w:hAnsi="Cambria" w:eastAsia="Cambria" w:cs="Cambria"/>
          <w:b/>
          <w:color w:val="000000"/>
          <w:sz w:val="28"/>
          <w:szCs w:val="28"/>
        </w:rPr>
      </w:pPr>
      <w:r>
        <w:rPr>
          <w:rFonts w:ascii="Cambria" w:hAnsi="Cambria" w:eastAsia="Cambria" w:cs="Cambria"/>
          <w:b/>
          <w:color w:val="000000"/>
          <w:sz w:val="28"/>
          <w:szCs w:val="28"/>
        </w:rPr>
        <w:t>6. Требования охраны труда при аварийных ситуациях</w:t>
      </w:r>
    </w:p>
    <w:p w14:paraId="7444636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 При возникновении аварийных ситуаций и несчастных случаев необходимо:</w:t>
      </w:r>
    </w:p>
    <w:p w14:paraId="47EC72D4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эксперта/ТАП/Индустриального эксперта.</w:t>
      </w:r>
    </w:p>
    <w:p w14:paraId="52324DA0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6.1.2. ТАП должен оперативно принять меры по устранению причин аварийных ситуаций.</w:t>
      </w:r>
    </w:p>
    <w:p w14:paraId="7CA9FFB9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6.2. При обнаружении в процессе работы возгораний необходимо:</w:t>
      </w:r>
    </w:p>
    <w:p w14:paraId="402660A1">
      <w:pPr>
        <w:pStyle w:val="37"/>
        <w:numPr>
          <w:ilvl w:val="0"/>
          <w:numId w:val="5"/>
        </w:numPr>
        <w:spacing w:after="0" w:line="276" w:lineRule="auto"/>
        <w:jc w:val="both"/>
        <w:rPr>
          <w:color w:val="000000" w:themeColor="text1"/>
          <w:sz w:val="28"/>
          <w:szCs w:val="28"/>
          <w:highlight w:val="yellow"/>
        </w:rPr>
      </w:pPr>
      <w:r>
        <w:rPr>
          <w:rFonts w:cs="Times New Roman"/>
          <w:color w:val="000000" w:themeColor="text1"/>
          <w:sz w:val="28"/>
          <w:szCs w:val="28"/>
          <w:shd w:val="clear" w:color="auto" w:fill="FFFFFF"/>
        </w:rPr>
        <w:t>При обнаружении очага возгорания на ранней стадии необходимо немедленно принять меры по локализации и тушению пожара, строго соблюдая технику безопасности.</w:t>
      </w:r>
    </w:p>
    <w:p w14:paraId="1196A31E">
      <w:pPr>
        <w:pStyle w:val="37"/>
        <w:numPr>
          <w:ilvl w:val="0"/>
          <w:numId w:val="5"/>
        </w:numPr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  <w:r>
        <w:rPr>
          <w:rStyle w:val="40"/>
          <w:color w:val="333333"/>
          <w:shd w:val="clear" w:color="auto" w:fill="FFFFFF"/>
        </w:rPr>
        <w:t xml:space="preserve"> </w:t>
      </w:r>
    </w:p>
    <w:p w14:paraId="51A53540">
      <w:pPr>
        <w:pStyle w:val="37"/>
        <w:numPr>
          <w:ilvl w:val="0"/>
          <w:numId w:val="5"/>
        </w:numPr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5F8B9D5D">
      <w:pPr>
        <w:pStyle w:val="37"/>
        <w:numPr>
          <w:ilvl w:val="0"/>
          <w:numId w:val="5"/>
        </w:numPr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033A1E8F">
      <w:pPr>
        <w:pStyle w:val="37"/>
        <w:numPr>
          <w:ilvl w:val="0"/>
          <w:numId w:val="5"/>
        </w:numPr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7D0C4565">
      <w:pPr>
        <w:pStyle w:val="37"/>
        <w:numPr>
          <w:ilvl w:val="0"/>
          <w:numId w:val="5"/>
        </w:numPr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Приложить усилия для исключения состояния страха и паники.</w:t>
      </w:r>
    </w:p>
    <w:p w14:paraId="1BE0DD90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6.3. В случае возникновения пожара:</w:t>
      </w:r>
    </w:p>
    <w:p w14:paraId="12203FF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6.3.1. 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087795EC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6.3.2. Принять меры к вызову на место пожара непосредственного руководителя или других должностных лиц.</w:t>
      </w:r>
    </w:p>
    <w:p w14:paraId="212B4E11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6.4.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 </w:t>
      </w:r>
    </w:p>
    <w:p w14:paraId="421F91AD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</w:t>
      </w:r>
    </w:p>
    <w:p w14:paraId="7643198A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1D5946F5">
      <w:pPr>
        <w:keepNext/>
        <w:keepLines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hAnsi="Cambria" w:eastAsia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5C1B3096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14:paraId="3C87827F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-провести санитарную обработку рабочей зоны:</w:t>
      </w:r>
    </w:p>
    <w:p w14:paraId="6227D594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утилизировать весь мусор и отходы;</w:t>
      </w:r>
    </w:p>
    <w:p w14:paraId="7DB5A3C7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отключить оборудование от сети;</w:t>
      </w:r>
    </w:p>
    <w:p w14:paraId="2FA527AE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использованный инструмент переместить в санитарную зону обработки.</w:t>
      </w:r>
    </w:p>
    <w:p w14:paraId="5C708D11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сообщить Главному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задания;</w:t>
      </w:r>
    </w:p>
    <w:p w14:paraId="5B09CC7E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окончанию работы конкурсант обрабатывает, использованные инструменты в соответствии СанПином;</w:t>
      </w:r>
    </w:p>
    <w:p w14:paraId="474F984B">
      <w:pPr>
        <w:pStyle w:val="37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7.2. Покидать конкурсную площадку после завершения модуля только с разрешения Главного эксперта.</w:t>
      </w:r>
    </w:p>
    <w:p w14:paraId="30F62B28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>
      <w:footerReference r:id="rId6" w:type="first"/>
      <w:footerReference r:id="rId5" w:type="default"/>
      <w:pgSz w:w="11906" w:h="16838"/>
      <w:pgMar w:top="851" w:right="567" w:bottom="851" w:left="1418" w:header="708" w:footer="708" w:gutter="0"/>
      <w:pgNumType w:start="1"/>
      <w:cols w:space="1701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Georgia">
    <w:panose1 w:val="02040502050405020303"/>
    <w:charset w:val="CC"/>
    <w:family w:val="roman"/>
    <w:pitch w:val="default"/>
    <w:sig w:usb0="00000287" w:usb1="00000000" w:usb2="00000000" w:usb3="00000000" w:csb0="2000009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D3ECD2"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 xml:space="preserve">PAGE</w:instrText>
    </w:r>
    <w:r>
      <w:rPr>
        <w:rFonts w:ascii="Calibri" w:hAnsi="Calibri"/>
        <w:color w:val="000000"/>
        <w:sz w:val="22"/>
        <w:szCs w:val="22"/>
      </w:rPr>
      <w:fldChar w:fldCharType="separate"/>
    </w:r>
    <w:r>
      <w:rPr>
        <w:rFonts w:ascii="Calibri" w:hAnsi="Calibri"/>
        <w:color w:val="000000"/>
        <w:sz w:val="22"/>
        <w:szCs w:val="22"/>
      </w:rPr>
      <w:t>19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D4806D"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EB4181"/>
    <w:multiLevelType w:val="multilevel"/>
    <w:tmpl w:val="05EB4181"/>
    <w:lvl w:ilvl="0" w:tentative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 w:tentative="0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00B1CBA"/>
    <w:multiLevelType w:val="multilevel"/>
    <w:tmpl w:val="100B1CBA"/>
    <w:lvl w:ilvl="0" w:tentative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 w:tentative="0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E403057"/>
    <w:multiLevelType w:val="multilevel"/>
    <w:tmpl w:val="1E40305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4E1E1925"/>
    <w:multiLevelType w:val="multilevel"/>
    <w:tmpl w:val="4E1E1925"/>
    <w:lvl w:ilvl="0" w:tentative="0">
      <w:start w:val="1"/>
      <w:numFmt w:val="bullet"/>
      <w:lvlText w:val=""/>
      <w:lvlJc w:val="left"/>
      <w:pPr>
        <w:ind w:left="792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512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32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52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72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92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12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32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52" w:hanging="360"/>
      </w:pPr>
      <w:rPr>
        <w:rFonts w:hint="default" w:ascii="Wingdings" w:hAnsi="Wingdings"/>
      </w:rPr>
    </w:lvl>
  </w:abstractNum>
  <w:abstractNum w:abstractNumId="4">
    <w:nsid w:val="53970DE3"/>
    <w:multiLevelType w:val="multilevel"/>
    <w:tmpl w:val="53970DE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06B"/>
    <w:rsid w:val="00004270"/>
    <w:rsid w:val="00086433"/>
    <w:rsid w:val="000D2F72"/>
    <w:rsid w:val="000D5E06"/>
    <w:rsid w:val="001272EC"/>
    <w:rsid w:val="001339E7"/>
    <w:rsid w:val="001421C8"/>
    <w:rsid w:val="00161E2C"/>
    <w:rsid w:val="00195C80"/>
    <w:rsid w:val="00195E92"/>
    <w:rsid w:val="001A206B"/>
    <w:rsid w:val="002A0DB0"/>
    <w:rsid w:val="002C1811"/>
    <w:rsid w:val="002C31CB"/>
    <w:rsid w:val="002E0521"/>
    <w:rsid w:val="00303CE3"/>
    <w:rsid w:val="00312C44"/>
    <w:rsid w:val="00324EB8"/>
    <w:rsid w:val="00325995"/>
    <w:rsid w:val="0033560E"/>
    <w:rsid w:val="003800C8"/>
    <w:rsid w:val="003B6B1E"/>
    <w:rsid w:val="003E08B0"/>
    <w:rsid w:val="004039E3"/>
    <w:rsid w:val="004411C6"/>
    <w:rsid w:val="00447C8C"/>
    <w:rsid w:val="004A4709"/>
    <w:rsid w:val="004D315F"/>
    <w:rsid w:val="004D39D7"/>
    <w:rsid w:val="004E30B6"/>
    <w:rsid w:val="00502F19"/>
    <w:rsid w:val="00531B48"/>
    <w:rsid w:val="00547836"/>
    <w:rsid w:val="00561DDD"/>
    <w:rsid w:val="005665D8"/>
    <w:rsid w:val="00584FB3"/>
    <w:rsid w:val="005C241E"/>
    <w:rsid w:val="005E1F0F"/>
    <w:rsid w:val="0062761A"/>
    <w:rsid w:val="006B20BC"/>
    <w:rsid w:val="006C4525"/>
    <w:rsid w:val="006F6A47"/>
    <w:rsid w:val="007032DC"/>
    <w:rsid w:val="00736FCA"/>
    <w:rsid w:val="007D61B7"/>
    <w:rsid w:val="00815787"/>
    <w:rsid w:val="008204A3"/>
    <w:rsid w:val="008B121E"/>
    <w:rsid w:val="009269AB"/>
    <w:rsid w:val="00933967"/>
    <w:rsid w:val="00940A53"/>
    <w:rsid w:val="009419E5"/>
    <w:rsid w:val="00993338"/>
    <w:rsid w:val="009B4E07"/>
    <w:rsid w:val="009D12D0"/>
    <w:rsid w:val="00A266FF"/>
    <w:rsid w:val="00A7162A"/>
    <w:rsid w:val="00A8114D"/>
    <w:rsid w:val="00AC47EB"/>
    <w:rsid w:val="00AE1B8C"/>
    <w:rsid w:val="00B056F9"/>
    <w:rsid w:val="00B1557D"/>
    <w:rsid w:val="00B366B4"/>
    <w:rsid w:val="00BA6A49"/>
    <w:rsid w:val="00BD516F"/>
    <w:rsid w:val="00C41617"/>
    <w:rsid w:val="00C60B95"/>
    <w:rsid w:val="00C6421F"/>
    <w:rsid w:val="00C97751"/>
    <w:rsid w:val="00CA4845"/>
    <w:rsid w:val="00CC01DE"/>
    <w:rsid w:val="00CE35C5"/>
    <w:rsid w:val="00D83B0F"/>
    <w:rsid w:val="00DD6EA2"/>
    <w:rsid w:val="00E01778"/>
    <w:rsid w:val="00E03BCB"/>
    <w:rsid w:val="00E90887"/>
    <w:rsid w:val="00F43240"/>
    <w:rsid w:val="00F46805"/>
    <w:rsid w:val="00F478F2"/>
    <w:rsid w:val="00F66017"/>
    <w:rsid w:val="00F922B8"/>
    <w:rsid w:val="00FA2EFA"/>
    <w:rsid w:val="00FA74E6"/>
    <w:rsid w:val="00FF7D40"/>
    <w:rsid w:val="643167C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uiPriority="39" w:semiHidden="0" w:name="toc 3"/>
    <w:lsdException w:uiPriority="39" w:semiHidden="0" w:name="toc 4"/>
    <w:lsdException w:qFormat="1"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hidden/>
    <w:qFormat/>
    <w:uiPriority w:val="0"/>
    <w:pPr>
      <w:spacing w:line="1" w:lineRule="atLeast"/>
      <w:outlineLvl w:val="0"/>
    </w:pPr>
    <w:rPr>
      <w:rFonts w:ascii="Times New Roman" w:hAnsi="Times New Roman" w:eastAsia="Calibri" w:cs="Calibri"/>
      <w:position w:val="-1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57"/>
    <w:qFormat/>
    <w:uiPriority w:val="0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2"/>
    <w:basedOn w:val="1"/>
    <w:next w:val="1"/>
    <w:link w:val="58"/>
    <w:qFormat/>
    <w:uiPriority w:val="0"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59"/>
    <w:uiPriority w:val="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link w:val="60"/>
    <w:uiPriority w:val="0"/>
    <w:pPr>
      <w:keepNext/>
      <w:keepLines/>
      <w:spacing w:before="240" w:after="40"/>
      <w:outlineLvl w:val="3"/>
    </w:pPr>
    <w:rPr>
      <w:b/>
    </w:rPr>
  </w:style>
  <w:style w:type="paragraph" w:styleId="6">
    <w:name w:val="heading 5"/>
    <w:basedOn w:val="1"/>
    <w:next w:val="1"/>
    <w:link w:val="61"/>
    <w:uiPriority w:val="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7">
    <w:name w:val="heading 6"/>
    <w:basedOn w:val="1"/>
    <w:next w:val="1"/>
    <w:link w:val="62"/>
    <w:uiPriority w:val="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7"/>
    <w:basedOn w:val="1"/>
    <w:next w:val="1"/>
    <w:link w:val="63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64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65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qFormat/>
    <w:uiPriority w:val="0"/>
    <w:rPr>
      <w:position w:val="-1"/>
      <w:vertAlign w:val="superscript"/>
    </w:rPr>
  </w:style>
  <w:style w:type="character" w:styleId="14">
    <w:name w:val="annotation reference"/>
    <w:basedOn w:val="11"/>
    <w:semiHidden/>
    <w:unhideWhenUsed/>
    <w:uiPriority w:val="99"/>
    <w:rPr>
      <w:sz w:val="16"/>
      <w:szCs w:val="16"/>
    </w:rPr>
  </w:style>
  <w:style w:type="character" w:styleId="15">
    <w:name w:val="endnote reference"/>
    <w:semiHidden/>
    <w:unhideWhenUsed/>
    <w:uiPriority w:val="99"/>
    <w:rPr>
      <w:vertAlign w:val="superscript"/>
    </w:rPr>
  </w:style>
  <w:style w:type="character" w:styleId="16">
    <w:name w:val="Hyperlink"/>
    <w:qFormat/>
    <w:uiPriority w:val="99"/>
    <w:rPr>
      <w:color w:val="0000FF"/>
      <w:position w:val="-1"/>
      <w:u w:val="single"/>
      <w:vertAlign w:val="baseline"/>
    </w:rPr>
  </w:style>
  <w:style w:type="character" w:styleId="17">
    <w:name w:val="Strong"/>
    <w:basedOn w:val="11"/>
    <w:qFormat/>
    <w:uiPriority w:val="22"/>
    <w:rPr>
      <w:b/>
      <w:bCs/>
    </w:rPr>
  </w:style>
  <w:style w:type="paragraph" w:styleId="18">
    <w:name w:val="Balloon Text"/>
    <w:basedOn w:val="1"/>
    <w:hidden/>
    <w:qFormat/>
    <w:uiPriority w:val="0"/>
    <w:rPr>
      <w:rFonts w:ascii="Tahoma" w:hAnsi="Tahoma"/>
      <w:sz w:val="16"/>
      <w:szCs w:val="16"/>
    </w:rPr>
  </w:style>
  <w:style w:type="paragraph" w:styleId="19">
    <w:name w:val="endnote text"/>
    <w:basedOn w:val="1"/>
    <w:link w:val="202"/>
    <w:semiHidden/>
    <w:unhideWhenUsed/>
    <w:uiPriority w:val="99"/>
    <w:pPr>
      <w:spacing w:line="240" w:lineRule="auto"/>
    </w:pPr>
    <w:rPr>
      <w:sz w:val="20"/>
    </w:rPr>
  </w:style>
  <w:style w:type="paragraph" w:styleId="20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21">
    <w:name w:val="annotation text"/>
    <w:basedOn w:val="1"/>
    <w:link w:val="216"/>
    <w:semiHidden/>
    <w:unhideWhenUsed/>
    <w:uiPriority w:val="99"/>
    <w:pPr>
      <w:spacing w:line="240" w:lineRule="auto"/>
    </w:pPr>
    <w:rPr>
      <w:sz w:val="20"/>
      <w:szCs w:val="20"/>
    </w:rPr>
  </w:style>
  <w:style w:type="paragraph" w:styleId="22">
    <w:name w:val="annotation subject"/>
    <w:basedOn w:val="21"/>
    <w:next w:val="21"/>
    <w:link w:val="217"/>
    <w:semiHidden/>
    <w:unhideWhenUsed/>
    <w:uiPriority w:val="99"/>
    <w:rPr>
      <w:b/>
      <w:bCs/>
    </w:rPr>
  </w:style>
  <w:style w:type="paragraph" w:styleId="23">
    <w:name w:val="footnote text"/>
    <w:basedOn w:val="1"/>
    <w:link w:val="201"/>
    <w:qFormat/>
    <w:uiPriority w:val="0"/>
    <w:rPr>
      <w:sz w:val="20"/>
      <w:szCs w:val="20"/>
    </w:rPr>
  </w:style>
  <w:style w:type="paragraph" w:styleId="24">
    <w:name w:val="toc 8"/>
    <w:basedOn w:val="1"/>
    <w:next w:val="1"/>
    <w:unhideWhenUsed/>
    <w:uiPriority w:val="39"/>
    <w:pPr>
      <w:spacing w:after="57"/>
      <w:ind w:left="1984"/>
    </w:pPr>
  </w:style>
  <w:style w:type="paragraph" w:styleId="25">
    <w:name w:val="header"/>
    <w:basedOn w:val="1"/>
    <w:link w:val="73"/>
    <w:qFormat/>
    <w:uiPriority w:val="0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26">
    <w:name w:val="toc 9"/>
    <w:basedOn w:val="1"/>
    <w:next w:val="1"/>
    <w:unhideWhenUsed/>
    <w:uiPriority w:val="39"/>
    <w:pPr>
      <w:spacing w:after="57"/>
      <w:ind w:left="2268"/>
    </w:pPr>
  </w:style>
  <w:style w:type="paragraph" w:styleId="27">
    <w:name w:val="toc 7"/>
    <w:basedOn w:val="1"/>
    <w:next w:val="1"/>
    <w:unhideWhenUsed/>
    <w:uiPriority w:val="39"/>
    <w:pPr>
      <w:spacing w:after="57"/>
      <w:ind w:left="1701"/>
    </w:pPr>
  </w:style>
  <w:style w:type="paragraph" w:styleId="28">
    <w:name w:val="toc 1"/>
    <w:basedOn w:val="1"/>
    <w:next w:val="1"/>
    <w:hidden/>
    <w:qFormat/>
    <w:uiPriority w:val="39"/>
  </w:style>
  <w:style w:type="paragraph" w:styleId="29">
    <w:name w:val="toc 6"/>
    <w:basedOn w:val="1"/>
    <w:next w:val="1"/>
    <w:unhideWhenUsed/>
    <w:uiPriority w:val="39"/>
    <w:pPr>
      <w:spacing w:after="57"/>
      <w:ind w:left="1417"/>
    </w:pPr>
  </w:style>
  <w:style w:type="paragraph" w:styleId="30">
    <w:name w:val="table of figures"/>
    <w:basedOn w:val="1"/>
    <w:next w:val="1"/>
    <w:unhideWhenUsed/>
    <w:uiPriority w:val="99"/>
  </w:style>
  <w:style w:type="paragraph" w:styleId="31">
    <w:name w:val="toc 3"/>
    <w:basedOn w:val="1"/>
    <w:next w:val="1"/>
    <w:unhideWhenUsed/>
    <w:uiPriority w:val="39"/>
    <w:pPr>
      <w:spacing w:after="57"/>
      <w:ind w:left="567"/>
    </w:pPr>
  </w:style>
  <w:style w:type="paragraph" w:styleId="32">
    <w:name w:val="toc 2"/>
    <w:basedOn w:val="1"/>
    <w:next w:val="1"/>
    <w:hidden/>
    <w:qFormat/>
    <w:uiPriority w:val="39"/>
    <w:pPr>
      <w:ind w:left="240"/>
    </w:pPr>
  </w:style>
  <w:style w:type="paragraph" w:styleId="33">
    <w:name w:val="toc 4"/>
    <w:basedOn w:val="1"/>
    <w:next w:val="1"/>
    <w:unhideWhenUsed/>
    <w:uiPriority w:val="39"/>
    <w:pPr>
      <w:spacing w:after="57"/>
      <w:ind w:left="850"/>
    </w:pPr>
  </w:style>
  <w:style w:type="paragraph" w:styleId="34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35">
    <w:name w:val="Title"/>
    <w:basedOn w:val="1"/>
    <w:next w:val="1"/>
    <w:link w:val="67"/>
    <w:uiPriority w:val="0"/>
    <w:pPr>
      <w:keepNext/>
      <w:keepLines/>
      <w:spacing w:before="480" w:after="120"/>
    </w:pPr>
    <w:rPr>
      <w:b/>
      <w:sz w:val="72"/>
      <w:szCs w:val="72"/>
    </w:rPr>
  </w:style>
  <w:style w:type="paragraph" w:styleId="36">
    <w:name w:val="footer"/>
    <w:basedOn w:val="1"/>
    <w:link w:val="75"/>
    <w:qFormat/>
    <w:uiPriority w:val="0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37">
    <w:name w:val="Normal (Web)"/>
    <w:basedOn w:val="1"/>
    <w:hidden/>
    <w:qFormat/>
    <w:uiPriority w:val="99"/>
    <w:pPr>
      <w:spacing w:before="100" w:beforeAutospacing="1" w:after="100" w:afterAutospacing="1"/>
    </w:pPr>
    <w:rPr>
      <w:rFonts w:eastAsia="Times New Roman"/>
    </w:rPr>
  </w:style>
  <w:style w:type="paragraph" w:styleId="38">
    <w:name w:val="Subtitle"/>
    <w:basedOn w:val="1"/>
    <w:next w:val="1"/>
    <w:link w:val="68"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39">
    <w:name w:val="Table Grid"/>
    <w:basedOn w:val="12"/>
    <w:qFormat/>
    <w:uiPriority w:val="0"/>
    <w:pPr>
      <w:spacing w:line="1" w:lineRule="atLeast"/>
      <w:outlineLvl w:val="0"/>
    </w:pPr>
    <w:rPr>
      <w:position w:val="-1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40">
    <w:name w:val="Heading 1 Char"/>
    <w:basedOn w:val="11"/>
    <w:uiPriority w:val="9"/>
    <w:rPr>
      <w:rFonts w:ascii="Arial" w:hAnsi="Arial" w:eastAsia="Arial" w:cs="Arial"/>
      <w:sz w:val="40"/>
      <w:szCs w:val="40"/>
    </w:rPr>
  </w:style>
  <w:style w:type="character" w:customStyle="1" w:styleId="41">
    <w:name w:val="Heading 2 Char"/>
    <w:basedOn w:val="11"/>
    <w:uiPriority w:val="9"/>
    <w:rPr>
      <w:rFonts w:ascii="Arial" w:hAnsi="Arial" w:eastAsia="Arial" w:cs="Arial"/>
      <w:sz w:val="34"/>
    </w:rPr>
  </w:style>
  <w:style w:type="character" w:customStyle="1" w:styleId="42">
    <w:name w:val="Heading 3 Char"/>
    <w:basedOn w:val="11"/>
    <w:uiPriority w:val="9"/>
    <w:rPr>
      <w:rFonts w:ascii="Arial" w:hAnsi="Arial" w:eastAsia="Arial" w:cs="Arial"/>
      <w:sz w:val="30"/>
      <w:szCs w:val="30"/>
    </w:rPr>
  </w:style>
  <w:style w:type="character" w:customStyle="1" w:styleId="43">
    <w:name w:val="Heading 4 Char"/>
    <w:basedOn w:val="11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4">
    <w:name w:val="Heading 5 Char"/>
    <w:basedOn w:val="11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5">
    <w:name w:val="Heading 6 Char"/>
    <w:basedOn w:val="11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6">
    <w:name w:val="Heading 7 Char"/>
    <w:basedOn w:val="1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7">
    <w:name w:val="Heading 8 Char"/>
    <w:basedOn w:val="11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8">
    <w:name w:val="Heading 9 Char"/>
    <w:basedOn w:val="11"/>
    <w:uiPriority w:val="9"/>
    <w:rPr>
      <w:rFonts w:ascii="Arial" w:hAnsi="Arial" w:eastAsia="Arial" w:cs="Arial"/>
      <w:i/>
      <w:iCs/>
      <w:sz w:val="21"/>
      <w:szCs w:val="21"/>
    </w:rPr>
  </w:style>
  <w:style w:type="character" w:customStyle="1" w:styleId="49">
    <w:name w:val="Title Char"/>
    <w:basedOn w:val="11"/>
    <w:uiPriority w:val="10"/>
    <w:rPr>
      <w:sz w:val="48"/>
      <w:szCs w:val="48"/>
    </w:rPr>
  </w:style>
  <w:style w:type="character" w:customStyle="1" w:styleId="50">
    <w:name w:val="Subtitle Char"/>
    <w:basedOn w:val="11"/>
    <w:uiPriority w:val="11"/>
    <w:rPr>
      <w:sz w:val="24"/>
      <w:szCs w:val="24"/>
    </w:rPr>
  </w:style>
  <w:style w:type="character" w:customStyle="1" w:styleId="51">
    <w:name w:val="Quote Char"/>
    <w:uiPriority w:val="29"/>
    <w:rPr>
      <w:i/>
    </w:rPr>
  </w:style>
  <w:style w:type="character" w:customStyle="1" w:styleId="52">
    <w:name w:val="Intense Quote Char"/>
    <w:uiPriority w:val="30"/>
    <w:rPr>
      <w:i/>
    </w:rPr>
  </w:style>
  <w:style w:type="character" w:customStyle="1" w:styleId="53">
    <w:name w:val="Header Char"/>
    <w:basedOn w:val="11"/>
    <w:uiPriority w:val="99"/>
  </w:style>
  <w:style w:type="character" w:customStyle="1" w:styleId="54">
    <w:name w:val="Caption Char"/>
    <w:uiPriority w:val="99"/>
  </w:style>
  <w:style w:type="character" w:customStyle="1" w:styleId="55">
    <w:name w:val="Footnote Text Char"/>
    <w:uiPriority w:val="99"/>
    <w:rPr>
      <w:sz w:val="18"/>
    </w:rPr>
  </w:style>
  <w:style w:type="character" w:customStyle="1" w:styleId="56">
    <w:name w:val="Endnote Text Char"/>
    <w:uiPriority w:val="99"/>
    <w:rPr>
      <w:sz w:val="20"/>
    </w:rPr>
  </w:style>
  <w:style w:type="character" w:customStyle="1" w:styleId="57">
    <w:name w:val="Заголовок 1 Знак1"/>
    <w:link w:val="2"/>
    <w:uiPriority w:val="9"/>
    <w:rPr>
      <w:rFonts w:ascii="Arial" w:hAnsi="Arial" w:eastAsia="Arial" w:cs="Arial"/>
      <w:sz w:val="40"/>
      <w:szCs w:val="40"/>
    </w:rPr>
  </w:style>
  <w:style w:type="character" w:customStyle="1" w:styleId="58">
    <w:name w:val="Заголовок 2 Знак1"/>
    <w:link w:val="3"/>
    <w:uiPriority w:val="9"/>
    <w:rPr>
      <w:rFonts w:ascii="Arial" w:hAnsi="Arial" w:eastAsia="Arial" w:cs="Arial"/>
      <w:sz w:val="34"/>
    </w:rPr>
  </w:style>
  <w:style w:type="character" w:customStyle="1" w:styleId="59">
    <w:name w:val="Заголовок 3 Знак"/>
    <w:link w:val="4"/>
    <w:uiPriority w:val="9"/>
    <w:rPr>
      <w:rFonts w:ascii="Arial" w:hAnsi="Arial" w:eastAsia="Arial" w:cs="Arial"/>
      <w:sz w:val="30"/>
      <w:szCs w:val="30"/>
    </w:rPr>
  </w:style>
  <w:style w:type="character" w:customStyle="1" w:styleId="60">
    <w:name w:val="Заголовок 4 Знак"/>
    <w:link w:val="5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61">
    <w:name w:val="Заголовок 5 Знак"/>
    <w:link w:val="6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62">
    <w:name w:val="Заголовок 6 Знак"/>
    <w:link w:val="7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63">
    <w:name w:val="Заголовок 7 Знак"/>
    <w:link w:val="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64">
    <w:name w:val="Заголовок 8 Знак"/>
    <w:link w:val="9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65">
    <w:name w:val="Заголовок 9 Знак"/>
    <w:link w:val="10"/>
    <w:uiPriority w:val="9"/>
    <w:rPr>
      <w:rFonts w:ascii="Arial" w:hAnsi="Arial" w:eastAsia="Arial" w:cs="Arial"/>
      <w:i/>
      <w:iCs/>
      <w:sz w:val="21"/>
      <w:szCs w:val="21"/>
    </w:rPr>
  </w:style>
  <w:style w:type="paragraph" w:styleId="66">
    <w:name w:val="No Spacing"/>
    <w:hidden/>
    <w:qFormat/>
    <w:uiPriority w:val="0"/>
    <w:pPr>
      <w:spacing w:line="1" w:lineRule="atLeast"/>
      <w:outlineLvl w:val="0"/>
    </w:pPr>
    <w:rPr>
      <w:rFonts w:ascii="Times New Roman" w:hAnsi="Times New Roman" w:eastAsia="Calibri" w:cs="Calibri"/>
      <w:position w:val="-1"/>
      <w:sz w:val="24"/>
      <w:szCs w:val="24"/>
      <w:lang w:val="ru-RU" w:eastAsia="ru-RU" w:bidi="ar-SA"/>
    </w:rPr>
  </w:style>
  <w:style w:type="character" w:customStyle="1" w:styleId="67">
    <w:name w:val="Заголовок Знак"/>
    <w:link w:val="35"/>
    <w:uiPriority w:val="10"/>
    <w:rPr>
      <w:sz w:val="48"/>
      <w:szCs w:val="48"/>
    </w:rPr>
  </w:style>
  <w:style w:type="character" w:customStyle="1" w:styleId="68">
    <w:name w:val="Подзаголовок Знак"/>
    <w:link w:val="38"/>
    <w:uiPriority w:val="11"/>
    <w:rPr>
      <w:sz w:val="24"/>
      <w:szCs w:val="24"/>
    </w:rPr>
  </w:style>
  <w:style w:type="paragraph" w:styleId="69">
    <w:name w:val="Quote"/>
    <w:basedOn w:val="1"/>
    <w:next w:val="1"/>
    <w:link w:val="70"/>
    <w:qFormat/>
    <w:uiPriority w:val="29"/>
    <w:pPr>
      <w:ind w:left="720" w:right="720"/>
    </w:pPr>
    <w:rPr>
      <w:i/>
    </w:rPr>
  </w:style>
  <w:style w:type="character" w:customStyle="1" w:styleId="70">
    <w:name w:val="Цитата 2 Знак"/>
    <w:link w:val="69"/>
    <w:uiPriority w:val="29"/>
    <w:rPr>
      <w:i/>
    </w:rPr>
  </w:style>
  <w:style w:type="paragraph" w:styleId="71">
    <w:name w:val="Intense Quote"/>
    <w:basedOn w:val="1"/>
    <w:next w:val="1"/>
    <w:link w:val="72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72">
    <w:name w:val="Выделенная цитата Знак"/>
    <w:link w:val="71"/>
    <w:uiPriority w:val="30"/>
    <w:rPr>
      <w:i/>
    </w:rPr>
  </w:style>
  <w:style w:type="character" w:customStyle="1" w:styleId="73">
    <w:name w:val="Верхний колонтитул Знак1"/>
    <w:link w:val="25"/>
    <w:uiPriority w:val="99"/>
  </w:style>
  <w:style w:type="character" w:customStyle="1" w:styleId="74">
    <w:name w:val="Footer Char"/>
    <w:uiPriority w:val="99"/>
  </w:style>
  <w:style w:type="character" w:customStyle="1" w:styleId="75">
    <w:name w:val="Нижний колонтитул Знак1"/>
    <w:link w:val="36"/>
    <w:uiPriority w:val="99"/>
  </w:style>
  <w:style w:type="table" w:customStyle="1" w:styleId="76">
    <w:name w:val="Table Grid Light"/>
    <w:basedOn w:val="12"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77">
    <w:name w:val="Таблица простая 11"/>
    <w:basedOn w:val="12"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78">
    <w:name w:val="Таблица простая 21"/>
    <w:basedOn w:val="1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79">
    <w:name w:val="Таблица простая 31"/>
    <w:basedOn w:val="12"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80">
    <w:name w:val="Таблица простая 41"/>
    <w:basedOn w:val="12"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81">
    <w:name w:val="Таблица простая 51"/>
    <w:basedOn w:val="12"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82">
    <w:name w:val="Таблица-сетка 1 светлая1"/>
    <w:basedOn w:val="12"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83">
    <w:name w:val="Grid Table 1 Light - Accent 1"/>
    <w:basedOn w:val="12"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84">
    <w:name w:val="Grid Table 1 Light - Accent 2"/>
    <w:basedOn w:val="12"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85">
    <w:name w:val="Grid Table 1 Light - Accent 3"/>
    <w:basedOn w:val="12"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86">
    <w:name w:val="Grid Table 1 Light - Accent 4"/>
    <w:basedOn w:val="12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87">
    <w:name w:val="Grid Table 1 Light - Accent 5"/>
    <w:basedOn w:val="12"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88">
    <w:name w:val="Grid Table 1 Light - Accent 6"/>
    <w:basedOn w:val="12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89">
    <w:name w:val="Таблица-сетка 21"/>
    <w:basedOn w:val="12"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90">
    <w:name w:val="Grid Table 2 - Accent 1"/>
    <w:basedOn w:val="12"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91">
    <w:name w:val="Grid Table 2 - Accent 2"/>
    <w:basedOn w:val="12"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2">
    <w:name w:val="Grid Table 2 - Accent 3"/>
    <w:basedOn w:val="12"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3">
    <w:name w:val="Grid Table 2 - Accent 4"/>
    <w:basedOn w:val="12"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94">
    <w:name w:val="Grid Table 2 - Accent 5"/>
    <w:basedOn w:val="12"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5">
    <w:name w:val="Grid Table 2 - Accent 6"/>
    <w:basedOn w:val="12"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6">
    <w:name w:val="Таблица-сетка 31"/>
    <w:basedOn w:val="12"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97">
    <w:name w:val="Grid Table 3 - Accent 1"/>
    <w:basedOn w:val="12"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98">
    <w:name w:val="Grid Table 3 - Accent 2"/>
    <w:basedOn w:val="12"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9">
    <w:name w:val="Grid Table 3 - Accent 3"/>
    <w:basedOn w:val="12"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00">
    <w:name w:val="Grid Table 3 - Accent 4"/>
    <w:basedOn w:val="12"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01">
    <w:name w:val="Grid Table 3 - Accent 5"/>
    <w:basedOn w:val="12"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02">
    <w:name w:val="Grid Table 3 - Accent 6"/>
    <w:basedOn w:val="12"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03">
    <w:name w:val="Таблица-сетка 41"/>
    <w:basedOn w:val="12"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104">
    <w:name w:val="Grid Table 4 - Accent 1"/>
    <w:basedOn w:val="12"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105">
    <w:name w:val="Grid Table 4 - Accent 2"/>
    <w:basedOn w:val="12"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06">
    <w:name w:val="Grid Table 4 - Accent 3"/>
    <w:basedOn w:val="12"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07">
    <w:name w:val="Grid Table 4 - Accent 4"/>
    <w:basedOn w:val="12"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08">
    <w:name w:val="Grid Table 4 - Accent 5"/>
    <w:basedOn w:val="12"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09">
    <w:name w:val="Grid Table 4 - Accent 6"/>
    <w:basedOn w:val="12"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10">
    <w:name w:val="Таблица-сетка 5 темная1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111">
    <w:name w:val="Grid Table 5 Dark- Accent 1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12">
    <w:name w:val="Grid Table 5 Dark - Accent 2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13">
    <w:name w:val="Grid Table 5 Dark - Accent 3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14">
    <w:name w:val="Grid Table 5 Dark- Accent 4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15">
    <w:name w:val="Grid Table 5 Dark - Accent 5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16">
    <w:name w:val="Grid Table 5 Dark - Accent 6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17">
    <w:name w:val="Таблица-сетка 6 цветная1"/>
    <w:basedOn w:val="12"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7E7E7E" w:themeColor="text1" w:themeShade="95" w:themeTint="80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7E7E7E" w:themeColor="text1" w:themeShade="95" w:themeTint="80"/>
      </w:rPr>
    </w:tblStylePr>
    <w:tblStylePr w:type="firstCol">
      <w:rPr>
        <w:b/>
        <w:color w:val="7E7E7E" w:themeColor="text1" w:themeShade="95" w:themeTint="80"/>
      </w:rPr>
    </w:tblStylePr>
    <w:tblStylePr w:type="lastCol">
      <w:rPr>
        <w:b/>
        <w:color w:val="7E7E7E" w:themeColor="text1" w:themeShade="95" w:themeTint="80"/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18">
    <w:name w:val="Grid Table 6 Colorful - Accent 1"/>
    <w:basedOn w:val="12"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Shade="95" w:themeTint="80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Shade="95" w:themeTint="80"/>
      </w:rPr>
    </w:tblStylePr>
    <w:tblStylePr w:type="firstCol">
      <w:rPr>
        <w:b/>
        <w:color w:val="A6BFDD" w:themeColor="accent1" w:themeShade="95" w:themeTint="80"/>
      </w:rPr>
    </w:tblStylePr>
    <w:tblStylePr w:type="lastCol">
      <w:rPr>
        <w:b/>
        <w:color w:val="A6BFDD" w:themeColor="accent1" w:themeShade="95" w:themeTint="80"/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6BFDD" w:themeColor="accent1" w:themeShade="95" w:themeTint="80"/>
        <w:sz w:val="22"/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Shade="95" w:themeTint="80"/>
        <w:sz w:val="22"/>
      </w:rPr>
    </w:tblStylePr>
  </w:style>
  <w:style w:type="table" w:customStyle="1" w:styleId="119">
    <w:name w:val="Grid Table 6 Colorful - Accent 2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99795" w:themeColor="accent2" w:themeShade="95" w:themeTint="97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99795" w:themeColor="accent2" w:themeShade="95" w:themeTint="97"/>
      </w:rPr>
    </w:tblStylePr>
    <w:tblStylePr w:type="firstCol">
      <w:rPr>
        <w:b/>
        <w:color w:val="D99795" w:themeColor="accent2" w:themeShade="95" w:themeTint="97"/>
      </w:rPr>
    </w:tblStylePr>
    <w:tblStylePr w:type="lastCol">
      <w:rPr>
        <w:b/>
        <w:color w:val="D99795" w:themeColor="accent2" w:themeShade="95" w:themeTint="97"/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20">
    <w:name w:val="Grid Table 6 Colorful - Accent 3"/>
    <w:basedOn w:val="12"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Shade="95" w:themeTint="FE"/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Shade="95" w:themeTint="FE"/>
      </w:rPr>
    </w:tblStylePr>
    <w:tblStylePr w:type="firstCol">
      <w:rPr>
        <w:b/>
        <w:color w:val="9BBB59" w:themeColor="accent3" w:themeShade="95" w:themeTint="FE"/>
      </w:rPr>
    </w:tblStylePr>
    <w:tblStylePr w:type="lastCol">
      <w:rPr>
        <w:b/>
        <w:color w:val="9BBB59" w:themeColor="accent3" w:themeShade="95" w:themeTint="FE"/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Shade="95" w:themeTint="FE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Shade="95" w:themeTint="FE"/>
        <w:sz w:val="22"/>
      </w:rPr>
    </w:tblStylePr>
  </w:style>
  <w:style w:type="table" w:customStyle="1" w:styleId="121">
    <w:name w:val="Grid Table 6 Colorful - Accent 4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Shade="95" w:themeTint="9A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Shade="95" w:themeTint="9A"/>
      </w:rPr>
    </w:tblStylePr>
    <w:tblStylePr w:type="firstCol">
      <w:rPr>
        <w:b/>
        <w:color w:val="B2A1C6" w:themeColor="accent4" w:themeShade="95" w:themeTint="9A"/>
      </w:rPr>
    </w:tblStylePr>
    <w:tblStylePr w:type="lastCol">
      <w:rPr>
        <w:b/>
        <w:color w:val="B2A1C6" w:themeColor="accent4" w:themeShade="95" w:themeTint="9A"/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22">
    <w:name w:val="Grid Table 6 Colorful - Accent 5"/>
    <w:basedOn w:val="12"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23">
    <w:name w:val="Grid Table 6 Colorful - Accent 6"/>
    <w:basedOn w:val="12"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24">
    <w:name w:val="Таблица-сетка 7 цветная1"/>
    <w:basedOn w:val="12"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25">
    <w:name w:val="Grid Table 7 Colorful - Accent 1"/>
    <w:basedOn w:val="12"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6BFDD" w:themeColor="accent1" w:themeShade="95" w:themeTint="80"/>
        <w:sz w:val="22"/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Shade="95" w:themeTint="80"/>
        <w:sz w:val="22"/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Shade="95" w:themeTint="80"/>
        <w:sz w:val="22"/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Shade="95" w:themeTint="80"/>
        <w:sz w:val="22"/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6BFDD" w:themeColor="accent1" w:themeShade="95" w:themeTint="80"/>
        <w:sz w:val="22"/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Shade="95" w:themeTint="80"/>
        <w:sz w:val="22"/>
      </w:rPr>
    </w:tblStylePr>
  </w:style>
  <w:style w:type="table" w:customStyle="1" w:styleId="126">
    <w:name w:val="Grid Table 7 Colorful - Accent 2"/>
    <w:basedOn w:val="12"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99795" w:themeColor="accent2" w:themeShade="95" w:themeTint="97"/>
        <w:sz w:val="22"/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795" w:themeColor="accent2" w:themeShade="95" w:themeTint="97"/>
        <w:sz w:val="22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27">
    <w:name w:val="Grid Table 7 Colorful - Accent 3"/>
    <w:basedOn w:val="12"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Shade="95" w:themeTint="FE"/>
        <w:sz w:val="22"/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Shade="95" w:themeTint="FE"/>
        <w:sz w:val="22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Shade="95" w:themeTint="FE"/>
        <w:sz w:val="22"/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Shade="95" w:themeTint="FE"/>
        <w:sz w:val="22"/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Shade="95" w:themeTint="FE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Shade="95" w:themeTint="FE"/>
        <w:sz w:val="22"/>
      </w:rPr>
    </w:tblStylePr>
  </w:style>
  <w:style w:type="table" w:customStyle="1" w:styleId="128">
    <w:name w:val="Grid Table 7 Colorful - Accent 4"/>
    <w:basedOn w:val="12"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2A1C6" w:themeColor="accent4" w:themeShade="95" w:themeTint="9A"/>
        <w:sz w:val="22"/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Shade="95" w:themeTint="9A"/>
        <w:sz w:val="22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29">
    <w:name w:val="Grid Table 7 Colorful - Accent 5"/>
    <w:basedOn w:val="12"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30">
    <w:name w:val="Grid Table 7 Colorful - Accent 6"/>
    <w:basedOn w:val="12"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131">
    <w:name w:val="Список-таблица 1 светлая1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32">
    <w:name w:val="List Table 1 Light - Accent 1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33">
    <w:name w:val="List Table 1 Light - Accent 2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34">
    <w:name w:val="List Table 1 Light - Accent 3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35">
    <w:name w:val="List Table 1 Light - Accent 4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36">
    <w:name w:val="List Table 1 Light - Accent 5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37">
    <w:name w:val="List Table 1 Light - Accent 6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38">
    <w:name w:val="Список-таблица 21"/>
    <w:basedOn w:val="12"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9">
    <w:name w:val="List Table 2 - Accent 1"/>
    <w:basedOn w:val="12"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40">
    <w:name w:val="List Table 2 - Accent 2"/>
    <w:basedOn w:val="12"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41">
    <w:name w:val="List Table 2 - Accent 3"/>
    <w:basedOn w:val="12"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42">
    <w:name w:val="List Table 2 - Accent 4"/>
    <w:basedOn w:val="12"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43">
    <w:name w:val="List Table 2 - Accent 5"/>
    <w:basedOn w:val="12"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44">
    <w:name w:val="List Table 2 - Accent 6"/>
    <w:basedOn w:val="12"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45">
    <w:name w:val="Список-таблица 31"/>
    <w:basedOn w:val="1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46">
    <w:name w:val="List Table 3 - Accent 1"/>
    <w:basedOn w:val="12"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47">
    <w:name w:val="List Table 3 - Accent 2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48">
    <w:name w:val="List Table 3 - Accent 3"/>
    <w:basedOn w:val="12"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49">
    <w:name w:val="List Table 3 - Accent 4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50">
    <w:name w:val="List Table 3 - Accent 5"/>
    <w:basedOn w:val="12"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51">
    <w:name w:val="List Table 3 - Accent 6"/>
    <w:basedOn w:val="12"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52">
    <w:name w:val="Список-таблица 41"/>
    <w:basedOn w:val="1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53">
    <w:name w:val="List Table 4 - Accent 1"/>
    <w:basedOn w:val="12"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54">
    <w:name w:val="List Table 4 - Accent 2"/>
    <w:basedOn w:val="12"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55">
    <w:name w:val="List Table 4 - Accent 3"/>
    <w:basedOn w:val="12"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56">
    <w:name w:val="List Table 4 - Accent 4"/>
    <w:basedOn w:val="12"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57">
    <w:name w:val="List Table 4 - Accent 5"/>
    <w:basedOn w:val="12"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58">
    <w:name w:val="List Table 4 - Accent 6"/>
    <w:basedOn w:val="12"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59">
    <w:name w:val="Список-таблица 5 темная1"/>
    <w:basedOn w:val="12"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60">
    <w:name w:val="List Table 5 Dark - Accent 1"/>
    <w:basedOn w:val="12"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61">
    <w:name w:val="List Table 5 Dark - Accent 2"/>
    <w:basedOn w:val="12"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62">
    <w:name w:val="List Table 5 Dark - Accent 3"/>
    <w:basedOn w:val="12"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63">
    <w:name w:val="List Table 5 Dark - Accent 4"/>
    <w:basedOn w:val="12"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64">
    <w:name w:val="List Table 5 Dark - Accent 5"/>
    <w:basedOn w:val="12"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65">
    <w:name w:val="List Table 5 Dark - Accent 6"/>
    <w:basedOn w:val="12"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66">
    <w:name w:val="Список-таблица 6 цветная1"/>
    <w:basedOn w:val="12"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167">
    <w:name w:val="List Table 6 Colorful - Accent 1"/>
    <w:basedOn w:val="12"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5"/>
      </w:rPr>
    </w:tblStylePr>
    <w:tblStylePr w:type="lastCol">
      <w:rPr>
        <w:b/>
        <w:color w:val="2A4B71" w:themeColor="accent1" w:themeShade="95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</w:style>
  <w:style w:type="table" w:customStyle="1" w:styleId="168">
    <w:name w:val="List Table 6 Colorful - Accent 2"/>
    <w:basedOn w:val="12"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99795" w:themeColor="accent2" w:themeShade="95" w:themeTint="97"/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99795" w:themeColor="accent2" w:themeShade="95" w:themeTint="97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99795" w:themeColor="accent2" w:themeShade="95" w:themeTint="97"/>
      </w:rPr>
    </w:tblStylePr>
    <w:tblStylePr w:type="lastCol">
      <w:rPr>
        <w:b/>
        <w:color w:val="D99795" w:themeColor="accent2" w:themeShade="95" w:themeTint="97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69">
    <w:name w:val="List Table 6 Colorful - Accent 3"/>
    <w:basedOn w:val="12"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C" w:themeColor="accent3" w:themeShade="95" w:themeTint="98"/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C" w:themeColor="accent3" w:themeShade="95" w:themeTint="98"/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C" w:themeColor="accent3" w:themeShade="95" w:themeTint="98"/>
      </w:rPr>
    </w:tblStylePr>
    <w:tblStylePr w:type="lastCol">
      <w:rPr>
        <w:b/>
        <w:color w:val="C3D69C" w:themeColor="accent3" w:themeShade="95" w:themeTint="98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C" w:themeColor="accent3" w:themeShade="95" w:themeTint="98"/>
        <w:sz w:val="22"/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Shade="95" w:themeTint="98"/>
        <w:sz w:val="22"/>
      </w:rPr>
    </w:tblStylePr>
  </w:style>
  <w:style w:type="table" w:customStyle="1" w:styleId="170">
    <w:name w:val="List Table 6 Colorful - Accent 4"/>
    <w:basedOn w:val="12"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2A1C6" w:themeColor="accent4" w:themeShade="95" w:themeTint="9A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Shade="95" w:themeTint="9A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Shade="95" w:themeTint="9A"/>
      </w:rPr>
    </w:tblStylePr>
    <w:tblStylePr w:type="lastCol">
      <w:rPr>
        <w:b/>
        <w:color w:val="B2A1C6" w:themeColor="accent4" w:themeShade="95" w:themeTint="9A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71">
    <w:name w:val="List Table 6 Colorful - Accent 5"/>
    <w:basedOn w:val="12"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2CCDC" w:themeColor="accent5" w:themeShade="95" w:themeTint="9A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Shade="95" w:themeTint="9A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Shade="95" w:themeTint="9A"/>
      </w:rPr>
    </w:tblStylePr>
    <w:tblStylePr w:type="lastCol">
      <w:rPr>
        <w:b/>
        <w:color w:val="92CCDC" w:themeColor="accent5" w:themeShade="95" w:themeTint="9A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Shade="95" w:themeTint="9A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Shade="95" w:themeTint="9A"/>
        <w:sz w:val="22"/>
      </w:rPr>
    </w:tblStylePr>
  </w:style>
  <w:style w:type="table" w:customStyle="1" w:styleId="172">
    <w:name w:val="List Table 6 Colorful - Accent 6"/>
    <w:basedOn w:val="12"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Shade="95" w:themeTint="98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Shade="95" w:themeTint="98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Shade="95" w:themeTint="98"/>
      </w:rPr>
    </w:tblStylePr>
    <w:tblStylePr w:type="lastCol">
      <w:rPr>
        <w:b/>
        <w:color w:val="FAC090" w:themeColor="accent6" w:themeShade="95" w:themeTint="98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Shade="95" w:themeTint="98"/>
        <w:sz w:val="22"/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Shade="95" w:themeTint="98"/>
        <w:sz w:val="22"/>
      </w:rPr>
    </w:tblStylePr>
  </w:style>
  <w:style w:type="table" w:customStyle="1" w:styleId="173">
    <w:name w:val="Список-таблица 7 цветная1"/>
    <w:basedOn w:val="12"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74">
    <w:name w:val="List Table 7 Colorful - Accent 1"/>
    <w:basedOn w:val="12"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</w:style>
  <w:style w:type="table" w:customStyle="1" w:styleId="175">
    <w:name w:val="List Table 7 Colorful - Accent 2"/>
    <w:basedOn w:val="12"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795" w:themeColor="accent2" w:themeShade="95" w:themeTint="97"/>
        <w:sz w:val="22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76">
    <w:name w:val="List Table 7 Colorful - Accent 3"/>
    <w:basedOn w:val="12"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C" w:themeColor="accent3" w:themeShade="95" w:themeTint="98"/>
        <w:sz w:val="22"/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C" w:themeColor="accent3" w:themeShade="95" w:themeTint="98"/>
        <w:sz w:val="22"/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Shade="95" w:themeTint="98"/>
        <w:sz w:val="22"/>
      </w:rPr>
    </w:tblStylePr>
  </w:style>
  <w:style w:type="table" w:customStyle="1" w:styleId="177">
    <w:name w:val="List Table 7 Colorful - Accent 4"/>
    <w:basedOn w:val="12"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Shade="95" w:themeTint="9A"/>
        <w:sz w:val="22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78">
    <w:name w:val="List Table 7 Colorful - Accent 5"/>
    <w:basedOn w:val="12"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Shade="95" w:themeTint="9A"/>
        <w:sz w:val="22"/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Shade="95" w:themeTint="9A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Shade="95" w:themeTint="9A"/>
        <w:sz w:val="22"/>
      </w:rPr>
    </w:tblStylePr>
  </w:style>
  <w:style w:type="table" w:customStyle="1" w:styleId="179">
    <w:name w:val="List Table 7 Colorful - Accent 6"/>
    <w:basedOn w:val="12"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Shade="95" w:themeTint="98"/>
        <w:sz w:val="22"/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Shade="95" w:themeTint="98"/>
        <w:sz w:val="22"/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Shade="95" w:themeTint="98"/>
        <w:sz w:val="22"/>
      </w:rPr>
    </w:tblStylePr>
  </w:style>
  <w:style w:type="table" w:customStyle="1" w:styleId="180">
    <w:name w:val="Lined - Accent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81">
    <w:name w:val="Lined - Accent 1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82">
    <w:name w:val="Lined - Accent 2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83">
    <w:name w:val="Lined - Accent 3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84">
    <w:name w:val="Lined - Accent 4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85">
    <w:name w:val="Lined - Accent 5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86">
    <w:name w:val="Lined - Accent 6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87">
    <w:name w:val="Bordered &amp; Lined - Accent"/>
    <w:basedOn w:val="12"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88">
    <w:name w:val="Bordered &amp; Lined - Accent 1"/>
    <w:basedOn w:val="12"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89">
    <w:name w:val="Bordered &amp; Lined - Accent 2"/>
    <w:basedOn w:val="12"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90">
    <w:name w:val="Bordered &amp; Lined - Accent 3"/>
    <w:basedOn w:val="12"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91">
    <w:name w:val="Bordered &amp; Lined - Accent 4"/>
    <w:basedOn w:val="12"/>
    <w:qFormat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92">
    <w:name w:val="Bordered &amp; Lined - Accent 5"/>
    <w:basedOn w:val="12"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93">
    <w:name w:val="Bordered &amp; Lined - Accent 6"/>
    <w:basedOn w:val="12"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94">
    <w:name w:val="Bordered"/>
    <w:basedOn w:val="12"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95">
    <w:name w:val="Bordered - Accent 1"/>
    <w:basedOn w:val="12"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96">
    <w:name w:val="Bordered - Accent 2"/>
    <w:basedOn w:val="12"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97">
    <w:name w:val="Bordered - Accent 3"/>
    <w:basedOn w:val="12"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98">
    <w:name w:val="Bordered - Accent 4"/>
    <w:basedOn w:val="12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99">
    <w:name w:val="Bordered - Accent 5"/>
    <w:basedOn w:val="12"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200">
    <w:name w:val="Bordered - Accent 6"/>
    <w:basedOn w:val="12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201">
    <w:name w:val="Текст сноски Знак1"/>
    <w:link w:val="23"/>
    <w:uiPriority w:val="99"/>
    <w:rPr>
      <w:sz w:val="18"/>
    </w:rPr>
  </w:style>
  <w:style w:type="character" w:customStyle="1" w:styleId="202">
    <w:name w:val="Текст концевой сноски Знак"/>
    <w:link w:val="19"/>
    <w:uiPriority w:val="99"/>
    <w:rPr>
      <w:sz w:val="20"/>
    </w:rPr>
  </w:style>
  <w:style w:type="paragraph" w:customStyle="1" w:styleId="203">
    <w:name w:val="TOC Heading"/>
    <w:basedOn w:val="2"/>
    <w:next w:val="1"/>
    <w:hidden/>
    <w:qFormat/>
    <w:uiPriority w:val="0"/>
    <w:pPr>
      <w:outlineLvl w:val="9"/>
    </w:pPr>
    <w:rPr>
      <w:rFonts w:eastAsia="Times New Roman" w:cs="Times New Roman"/>
    </w:rPr>
  </w:style>
  <w:style w:type="table" w:customStyle="1" w:styleId="204">
    <w:name w:val="Table Normal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05">
    <w:name w:val="List Paragraph"/>
    <w:basedOn w:val="1"/>
    <w:link w:val="219"/>
    <w:qFormat/>
    <w:uiPriority w:val="99"/>
    <w:pPr>
      <w:ind w:left="720"/>
    </w:pPr>
  </w:style>
  <w:style w:type="character" w:customStyle="1" w:styleId="206">
    <w:name w:val="Текст выноски Знак"/>
    <w:qFormat/>
    <w:uiPriority w:val="0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207">
    <w:name w:val="otekstj"/>
    <w:basedOn w:val="1"/>
    <w:hidden/>
    <w:qFormat/>
    <w:uiPriority w:val="0"/>
    <w:pPr>
      <w:spacing w:before="100" w:beforeAutospacing="1" w:after="100" w:afterAutospacing="1"/>
    </w:pPr>
    <w:rPr>
      <w:rFonts w:eastAsia="Times New Roman"/>
    </w:rPr>
  </w:style>
  <w:style w:type="character" w:customStyle="1" w:styleId="208">
    <w:name w:val="apple-converted-space"/>
    <w:basedOn w:val="11"/>
    <w:qFormat/>
    <w:uiPriority w:val="0"/>
    <w:rPr>
      <w:position w:val="-1"/>
      <w:vertAlign w:val="baseline"/>
    </w:rPr>
  </w:style>
  <w:style w:type="character" w:customStyle="1" w:styleId="209">
    <w:name w:val="Верхний колонтитул Знак"/>
    <w:qFormat/>
    <w:uiPriority w:val="0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210">
    <w:name w:val="Нижний колонтитул Знак"/>
    <w:qFormat/>
    <w:uiPriority w:val="0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211">
    <w:name w:val="Заголовок 1 Знак"/>
    <w:qFormat/>
    <w:uiPriority w:val="0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12">
    <w:name w:val="Заголовок 2 Знак"/>
    <w:qFormat/>
    <w:uiPriority w:val="0"/>
    <w:rPr>
      <w:rFonts w:ascii="Cambria" w:hAnsi="Cambria" w:eastAsia="Times New Roman" w:cs="Times New Roman"/>
      <w:b/>
      <w:bCs/>
      <w:i/>
      <w:iCs/>
      <w:position w:val="-1"/>
      <w:sz w:val="28"/>
      <w:szCs w:val="28"/>
      <w:vertAlign w:val="baseline"/>
    </w:rPr>
  </w:style>
  <w:style w:type="table" w:customStyle="1" w:styleId="213">
    <w:name w:val="Сетка таблицы1"/>
    <w:basedOn w:val="12"/>
    <w:qFormat/>
    <w:uiPriority w:val="0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214">
    <w:name w:val="Текст сноски Знак"/>
    <w:qFormat/>
    <w:uiPriority w:val="0"/>
    <w:rPr>
      <w:rFonts w:ascii="Times New Roman" w:hAnsi="Times New Roman"/>
      <w:position w:val="-1"/>
      <w:vertAlign w:val="baseline"/>
    </w:rPr>
  </w:style>
  <w:style w:type="table" w:customStyle="1" w:styleId="215">
    <w:name w:val="StGen0"/>
    <w:basedOn w:val="204"/>
    <w:uiPriority w:val="0"/>
    <w:tblPr>
      <w:tblCellMar>
        <w:left w:w="108" w:type="dxa"/>
        <w:right w:w="108" w:type="dxa"/>
      </w:tblCellMar>
    </w:tblPr>
  </w:style>
  <w:style w:type="character" w:customStyle="1" w:styleId="216">
    <w:name w:val="Текст примечания Знак"/>
    <w:basedOn w:val="11"/>
    <w:link w:val="21"/>
    <w:semiHidden/>
    <w:uiPriority w:val="99"/>
    <w:rPr>
      <w:rFonts w:ascii="Times New Roman" w:hAnsi="Times New Roman"/>
      <w:position w:val="-1"/>
      <w:lang w:eastAsia="ru-RU"/>
    </w:rPr>
  </w:style>
  <w:style w:type="character" w:customStyle="1" w:styleId="217">
    <w:name w:val="Тема примечания Знак"/>
    <w:basedOn w:val="216"/>
    <w:link w:val="22"/>
    <w:semiHidden/>
    <w:uiPriority w:val="99"/>
    <w:rPr>
      <w:rFonts w:ascii="Times New Roman" w:hAnsi="Times New Roman"/>
      <w:b/>
      <w:bCs/>
      <w:position w:val="-1"/>
      <w:lang w:eastAsia="ru-RU"/>
    </w:rPr>
  </w:style>
  <w:style w:type="character" w:customStyle="1" w:styleId="218">
    <w:name w:val="Unresolved Mention"/>
    <w:basedOn w:val="11"/>
    <w:semiHidden/>
    <w:unhideWhenUsed/>
    <w:uiPriority w:val="99"/>
    <w:rPr>
      <w:color w:val="605E5C"/>
      <w:shd w:val="clear" w:color="auto" w:fill="E1DFDD"/>
    </w:rPr>
  </w:style>
  <w:style w:type="character" w:customStyle="1" w:styleId="219">
    <w:name w:val="Абзац списка Знак"/>
    <w:basedOn w:val="11"/>
    <w:link w:val="205"/>
    <w:qFormat/>
    <w:uiPriority w:val="99"/>
    <w:rPr>
      <w:rFonts w:ascii="Times New Roman" w:hAnsi="Times New Roman"/>
      <w:position w:val="-1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jpeg"/><Relationship Id="rId20" Type="http://schemas.openxmlformats.org/officeDocument/2006/relationships/image" Target="media/image13.jpeg"/><Relationship Id="rId2" Type="http://schemas.openxmlformats.org/officeDocument/2006/relationships/settings" Target="settings.xml"/><Relationship Id="rId19" Type="http://schemas.openxmlformats.org/officeDocument/2006/relationships/image" Target="media/image12.jpeg"/><Relationship Id="rId18" Type="http://schemas.openxmlformats.org/officeDocument/2006/relationships/image" Target="media/image11.jpeg"/><Relationship Id="rId17" Type="http://schemas.openxmlformats.org/officeDocument/2006/relationships/image" Target="media/image10.jpeg"/><Relationship Id="rId16" Type="http://schemas.openxmlformats.org/officeDocument/2006/relationships/image" Target="media/image9.pn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4787</Words>
  <Characters>27288</Characters>
  <Lines>227</Lines>
  <Paragraphs>64</Paragraphs>
  <TotalTime>287</TotalTime>
  <ScaleCrop>false</ScaleCrop>
  <LinksUpToDate>false</LinksUpToDate>
  <CharactersWithSpaces>32011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2024-10-21T10:44:00Z</dcterms:created>
  <dc:creator>Наталья Петровна Овчинникова</dc:creator>
  <cp:lastModifiedBy>Надежда Борюшки�</cp:lastModifiedBy>
  <dcterms:modified xsi:type="dcterms:W3CDTF">2025-03-29T04:27:51Z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492A7D6D233B464899A0CD1ADD69D9C4_13</vt:lpwstr>
  </property>
</Properties>
</file>