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3FF7A01F" w14:textId="77777777" w:rsidTr="009B18A2">
            <w:tc>
              <w:tcPr>
                <w:tcW w:w="4814" w:type="dxa"/>
              </w:tcPr>
              <w:p w14:paraId="7C225654" w14:textId="64BE4725" w:rsidR="00B610A2" w:rsidRDefault="00B610A2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231D8EAF" w14:textId="65C2297B" w:rsidR="00B610A2" w:rsidRDefault="00B610A2" w:rsidP="0004625E">
                <w:pPr>
                  <w:spacing w:line="360" w:lineRule="auto"/>
                  <w:ind w:left="1884"/>
                </w:pPr>
              </w:p>
            </w:tc>
          </w:tr>
        </w:tbl>
        <w:p w14:paraId="19C6A938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5688A8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C58188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B06F27C" w14:textId="77777777" w:rsidR="00832EBB" w:rsidRPr="00A204BB" w:rsidRDefault="000F0FC3" w:rsidP="007D5A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D5AEC">
            <w:rPr>
              <w:rFonts w:ascii="Times New Roman" w:eastAsia="Arial Unicode MS" w:hAnsi="Times New Roman" w:cs="Times New Roman"/>
              <w:sz w:val="56"/>
              <w:szCs w:val="56"/>
            </w:rPr>
            <w:t>СБОРКА КОРПУСОВ МЕТАЛЛИЧЕСКИХ СУДОВ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4913BB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2ADA073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9F106B6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E9B5109" w14:textId="77777777" w:rsidR="00334165" w:rsidRPr="00A204BB" w:rsidRDefault="00B818A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533F0E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A4BEB81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40F2A4A7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5156CC3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281418A1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2862A65D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5042779C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36AAF75E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5E8E5A4A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017FAD88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623407FF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51C38E6A" w14:textId="77777777" w:rsidR="005718F7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462EBE1C" w14:textId="77777777" w:rsidR="005718F7" w:rsidRPr="0004625E" w:rsidRDefault="005718F7" w:rsidP="00C17B01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44ACF773" w14:textId="2CCEECEE" w:rsidR="0004625E" w:rsidRDefault="003962D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EB562F">
        <w:rPr>
          <w:rFonts w:ascii="Times New Roman" w:hAnsi="Times New Roman" w:cs="Times New Roman"/>
          <w:lang w:bidi="en-US"/>
        </w:rPr>
        <w:t>5</w:t>
      </w:r>
      <w:r w:rsidR="009B18A2">
        <w:rPr>
          <w:rFonts w:ascii="Times New Roman" w:hAnsi="Times New Roman" w:cs="Times New Roman"/>
          <w:lang w:bidi="en-US"/>
        </w:rPr>
        <w:t>г.</w:t>
      </w:r>
    </w:p>
    <w:p w14:paraId="3A9DDF74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490B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490B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5923576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519E547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D7DC6D6" w14:textId="77777777" w:rsidR="009B18A2" w:rsidRDefault="00E674E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D41C4C0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E674E6">
          <w:rPr>
            <w:noProof/>
            <w:webHidden/>
          </w:rPr>
          <w:fldChar w:fldCharType="end"/>
        </w:r>
      </w:hyperlink>
    </w:p>
    <w:p w14:paraId="6F25DEC0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E674E6">
          <w:rPr>
            <w:noProof/>
            <w:webHidden/>
          </w:rPr>
          <w:fldChar w:fldCharType="end"/>
        </w:r>
      </w:hyperlink>
    </w:p>
    <w:p w14:paraId="1ADF6643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E674E6">
          <w:rPr>
            <w:noProof/>
            <w:webHidden/>
          </w:rPr>
          <w:fldChar w:fldCharType="end"/>
        </w:r>
      </w:hyperlink>
    </w:p>
    <w:p w14:paraId="0762CB38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E674E6">
          <w:rPr>
            <w:noProof/>
            <w:webHidden/>
          </w:rPr>
          <w:fldChar w:fldCharType="end"/>
        </w:r>
      </w:hyperlink>
    </w:p>
    <w:p w14:paraId="741AE3A1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E674E6">
          <w:rPr>
            <w:noProof/>
            <w:webHidden/>
          </w:rPr>
          <w:fldChar w:fldCharType="end"/>
        </w:r>
      </w:hyperlink>
    </w:p>
    <w:p w14:paraId="469B91D9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E674E6">
          <w:rPr>
            <w:noProof/>
            <w:webHidden/>
          </w:rPr>
          <w:fldChar w:fldCharType="end"/>
        </w:r>
      </w:hyperlink>
    </w:p>
    <w:p w14:paraId="5936FD22" w14:textId="77777777" w:rsidR="009B18A2" w:rsidRDefault="00B818A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E674E6">
          <w:rPr>
            <w:noProof/>
            <w:webHidden/>
          </w:rPr>
          <w:fldChar w:fldCharType="end"/>
        </w:r>
      </w:hyperlink>
    </w:p>
    <w:p w14:paraId="2D99F03F" w14:textId="77777777" w:rsidR="009B18A2" w:rsidRDefault="00B818A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E674E6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E674E6">
          <w:rPr>
            <w:noProof/>
            <w:webHidden/>
          </w:rPr>
        </w:r>
        <w:r w:rsidR="00E674E6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E674E6">
          <w:rPr>
            <w:noProof/>
            <w:webHidden/>
          </w:rPr>
          <w:fldChar w:fldCharType="end"/>
        </w:r>
      </w:hyperlink>
    </w:p>
    <w:p w14:paraId="05A27423" w14:textId="77777777" w:rsidR="00AA2B8A" w:rsidRPr="00A204BB" w:rsidRDefault="00E674E6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44E0E9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93D48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4D5F6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514E1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2D36F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A1530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FA2195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E73143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59B2F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34004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FB8D5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6B265E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ABA81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5D0A5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62B97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711E5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A58D8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32538D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BBF8D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46989D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599B93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B221DC" w14:textId="77777777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9C9A506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7CCC88C" w14:textId="77777777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163675F5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4257FC57" w14:textId="55666FEC" w:rsidR="00F50AC5" w:rsidRPr="009B18A2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ПТА- </w:t>
      </w:r>
      <w:proofErr w:type="spellStart"/>
      <w:r w:rsidR="00DD4435">
        <w:rPr>
          <w:rFonts w:ascii="Times New Roman" w:hAnsi="Times New Roman"/>
          <w:bCs/>
          <w:i/>
          <w:sz w:val="28"/>
          <w:szCs w:val="28"/>
          <w:lang w:val="ru-RU" w:eastAsia="ru-RU"/>
        </w:rPr>
        <w:t>Плазово</w:t>
      </w:r>
      <w:proofErr w:type="spellEnd"/>
      <w:r w:rsidR="00DD44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-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Технологический Альбом</w:t>
      </w:r>
    </w:p>
    <w:p w14:paraId="44786242" w14:textId="77777777" w:rsidR="00F50AC5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ТК-</w:t>
      </w:r>
      <w:r w:rsidRPr="0072374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Требование компетенции</w:t>
      </w:r>
    </w:p>
    <w:p w14:paraId="595E50D9" w14:textId="77777777" w:rsidR="00723745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3.СКМС-</w:t>
      </w:r>
      <w:r w:rsidRPr="0072374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Сборка корпусов металлических судов</w:t>
      </w:r>
    </w:p>
    <w:p w14:paraId="12506AA1" w14:textId="77777777" w:rsidR="00723745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4.СПС- Спецификация процесса сварки</w:t>
      </w:r>
    </w:p>
    <w:p w14:paraId="32175524" w14:textId="77777777" w:rsidR="00723745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5.КЗ- Конкурсное задание</w:t>
      </w:r>
    </w:p>
    <w:p w14:paraId="442A17D3" w14:textId="77777777" w:rsidR="00723745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6.ИЛ- Инфраструктурный лист</w:t>
      </w:r>
    </w:p>
    <w:p w14:paraId="1DE0DA03" w14:textId="77777777" w:rsidR="00723745" w:rsidRDefault="0072374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7.ОСТ- Отраслевой Стандарт</w:t>
      </w:r>
    </w:p>
    <w:p w14:paraId="56186F31" w14:textId="6821B38B" w:rsidR="00FB3492" w:rsidRPr="00723745" w:rsidRDefault="00723745" w:rsidP="0072374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8.УШМ- Угловая шлифовальная </w:t>
      </w:r>
      <w:r w:rsidR="00DD4435">
        <w:rPr>
          <w:rFonts w:ascii="Times New Roman" w:hAnsi="Times New Roman"/>
          <w:bCs/>
          <w:i/>
          <w:sz w:val="28"/>
          <w:szCs w:val="28"/>
          <w:lang w:val="ru-RU" w:eastAsia="ru-RU"/>
        </w:rPr>
        <w:t>машинка</w:t>
      </w:r>
    </w:p>
    <w:p w14:paraId="026E9D4C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8950EB3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961DBAC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7A351C83" w14:textId="77777777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5311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6293D548" w14:textId="77777777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5311A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C6A298F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7D5AEC">
        <w:rPr>
          <w:rFonts w:ascii="Times New Roman" w:hAnsi="Times New Roman" w:cs="Times New Roman"/>
          <w:sz w:val="28"/>
          <w:szCs w:val="28"/>
        </w:rPr>
        <w:t>ования компетенции (ТК) «Сборка корпусов металлических судов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7D5AE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FC93D32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163D96BC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311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3CC6F9B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311A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4E267D2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CB5CD50" w14:textId="77777777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5311A7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7D5AEC">
        <w:rPr>
          <w:rFonts w:ascii="Times New Roman" w:hAnsi="Times New Roman"/>
          <w:color w:val="000000"/>
          <w:sz w:val="24"/>
          <w:lang w:val="ru-RU"/>
        </w:rPr>
        <w:t>АЛИСТА ПО КОМПЕТЕНЦИИ «СБОРКА КОРПУСОВ МЕТАЛЛИЧЕСКИХ СУДОВ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459250BA" w14:textId="77777777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92FC12B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5812610B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21B557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C36BC59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EC6CC7A" w14:textId="77777777" w:rsidTr="00EF0C6C">
        <w:tc>
          <w:tcPr>
            <w:tcW w:w="330" w:type="pct"/>
            <w:shd w:val="clear" w:color="auto" w:fill="92D050"/>
            <w:vAlign w:val="center"/>
          </w:tcPr>
          <w:p w14:paraId="4AE471D5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8EFC781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1C57282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1AD32385" w14:textId="77777777" w:rsidTr="00EF0C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B9F49B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DB28BB" w14:textId="77777777" w:rsidR="00764773" w:rsidRPr="000244DA" w:rsidRDefault="007D5AEC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D5A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B63319" w14:textId="77777777" w:rsidR="00764773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14:paraId="3E66847D" w14:textId="77777777" w:rsidTr="00EF0C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066C33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71B3EC" w14:textId="77777777" w:rsidR="007D5AEC" w:rsidRPr="007D5AEC" w:rsidRDefault="00764773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B1044F1" w14:textId="77777777" w:rsidR="007D5AEC" w:rsidRPr="007D5AEC" w:rsidRDefault="007D5AEC" w:rsidP="007D5AE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Действующие правила по технике безопасности и рекомендации по охране труда и экологии, используемые в судостроении;</w:t>
            </w:r>
          </w:p>
          <w:p w14:paraId="4A31B415" w14:textId="27E0293E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Технологические операции и их </w:t>
            </w:r>
            <w:r w:rsidR="00DD4435"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последовательность;</w:t>
            </w:r>
          </w:p>
          <w:p w14:paraId="6FD65DFF" w14:textId="1CA9AA2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Процедуры утилизации отрезков, стружки, использованных чистящих средств </w:t>
            </w:r>
            <w:r w:rsidR="00DD4435"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чистящих</w:t>
            </w: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материалов;</w:t>
            </w:r>
          </w:p>
          <w:p w14:paraId="0DE0EDB6" w14:textId="7777777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14:paraId="090C0C27" w14:textId="7777777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Использование простых математических формул для вычисления дополнительных измерений, проверка точности и оценки количества обязательного материала;</w:t>
            </w:r>
          </w:p>
          <w:p w14:paraId="2E3AEE04" w14:textId="7777777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25C9CB9F" w14:textId="7777777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49956721" w14:textId="7777777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03A24B10" w14:textId="77777777" w:rsidR="007D5AEC" w:rsidRPr="007D5AEC" w:rsidRDefault="007D5AEC" w:rsidP="007D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042651C6" w14:textId="77777777" w:rsidR="00764773" w:rsidRPr="000244DA" w:rsidRDefault="007D5AEC" w:rsidP="007D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математические формулы для расчета припусков, количества расходуемого материала и завершения размеров.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1BCBCE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7E7BB85E" w14:textId="77777777" w:rsidTr="00EF0C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F58367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BEF802" w14:textId="77777777" w:rsidR="00764773" w:rsidRPr="009356DA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0F3D4CA8" w14:textId="77777777" w:rsidR="009356DA" w:rsidRPr="009356DA" w:rsidRDefault="009356DA" w:rsidP="009356D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3DB27A09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03007D2C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44CEA28D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Подготавливать материал для разметки, сборки и сварки;</w:t>
            </w:r>
          </w:p>
          <w:p w14:paraId="463EE373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Удалять заусенцы, шлифовать (изготовить безопасные для использования детали, узлы, подсекции и оснастку);</w:t>
            </w:r>
          </w:p>
          <w:p w14:paraId="75A896A7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Точно переносить измерения;</w:t>
            </w:r>
          </w:p>
          <w:p w14:paraId="5FA889BD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5FB90847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14:paraId="587F65DB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Работать в заданных временных промежутках.</w:t>
            </w:r>
          </w:p>
          <w:p w14:paraId="2A736923" w14:textId="77777777" w:rsidR="00764773" w:rsidRPr="009356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89530BE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6D7F3C1D" w14:textId="77777777" w:rsidTr="00EF0C6C">
        <w:trPr>
          <w:trHeight w:val="26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5CFC0F" w14:textId="77777777" w:rsidR="009356DA" w:rsidRPr="000244DA" w:rsidRDefault="009356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CCD9" w14:textId="77777777" w:rsidR="009356DA" w:rsidRPr="009356DA" w:rsidRDefault="009356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пооперационной технологии.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9559" w14:textId="77777777" w:rsidR="009356DA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6DA" w:rsidRPr="003732A7" w14:paraId="01027411" w14:textId="77777777" w:rsidTr="00EF0C6C">
        <w:trPr>
          <w:trHeight w:val="396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321AFF" w14:textId="77777777" w:rsidR="009356DA" w:rsidRPr="000244DA" w:rsidRDefault="009356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28938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997085A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технологических операций при изготовлении секций днища, бортов, палуб, переборок, настилов и оконечностей;</w:t>
            </w:r>
          </w:p>
          <w:p w14:paraId="42284AD3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монтажа секций и фундаментов;</w:t>
            </w:r>
          </w:p>
          <w:p w14:paraId="1ECB4A3C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-Принципиальные технологии изготовления корпусов судов различного назначения;</w:t>
            </w:r>
          </w:p>
          <w:p w14:paraId="77EBA182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Методы предупреждения местных и общих деформаций.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DD88" w14:textId="77777777" w:rsidR="009356DA" w:rsidRPr="000244DA" w:rsidRDefault="009356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701E9A4A" w14:textId="77777777" w:rsidTr="00EF0C6C">
        <w:trPr>
          <w:trHeight w:val="45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2B527E" w14:textId="77777777" w:rsidR="009356DA" w:rsidRPr="000244DA" w:rsidRDefault="009356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88CF5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E14687E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Составлять карты технологических операций в соответствии с принятой технологией изготовления секции;</w:t>
            </w:r>
          </w:p>
          <w:p w14:paraId="6FF9B3A4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Разрабатывать технологию изготовления секции с учетом наличия кранового оборудования для возможности кантовки и монтажа на стапеле;</w:t>
            </w:r>
          </w:p>
          <w:p w14:paraId="596D7CCF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Планировать последовательность выполнения сборочно-сварочных операций.</w:t>
            </w:r>
          </w:p>
          <w:p w14:paraId="5859F022" w14:textId="77777777" w:rsidR="009356DA" w:rsidRPr="009356DA" w:rsidRDefault="009356DA" w:rsidP="00D171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E2784" w14:textId="77777777" w:rsidR="009356DA" w:rsidRPr="000244DA" w:rsidRDefault="009356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214826BA" w14:textId="77777777" w:rsidTr="00EF0C6C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111F095" w14:textId="77777777" w:rsidR="009356DA" w:rsidRPr="000244DA" w:rsidRDefault="009356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76CF5" w14:textId="77777777" w:rsidR="009356DA" w:rsidRPr="009356DA" w:rsidRDefault="009356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технологической постели.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AAE7" w14:textId="77777777" w:rsidR="009356DA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6DA" w:rsidRPr="003732A7" w14:paraId="3378C6C9" w14:textId="77777777" w:rsidTr="00EF0C6C">
        <w:trPr>
          <w:trHeight w:val="19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0279FF" w14:textId="77777777" w:rsidR="009356DA" w:rsidRPr="000244DA" w:rsidRDefault="009356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F0FF7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6E458E3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технологических постелей;</w:t>
            </w:r>
          </w:p>
          <w:p w14:paraId="1132D45C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Потребность в дополнительной технологической оснастке;</w:t>
            </w:r>
          </w:p>
          <w:p w14:paraId="6609835E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Назначение и виды технологической оснастки для раскрепления и фиксации различных конструкций при изготовлении и монтаже секций и фундаментов;</w:t>
            </w:r>
          </w:p>
          <w:p w14:paraId="1601A4F6" w14:textId="77777777" w:rsidR="009356DA" w:rsidRPr="009356DA" w:rsidRDefault="009356DA" w:rsidP="00935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расположения и жесткого закрепления оснастки к корпусным конструкциям.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235DA" w14:textId="77777777" w:rsidR="009356DA" w:rsidRPr="000244DA" w:rsidRDefault="009356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3E3FFAFB" w14:textId="77777777" w:rsidTr="00EF0C6C">
        <w:trPr>
          <w:trHeight w:val="20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6ED7A6" w14:textId="77777777" w:rsidR="009356DA" w:rsidRPr="000244DA" w:rsidRDefault="009356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D1D9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8A643CD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Изготавливать </w:t>
            </w:r>
            <w:proofErr w:type="spellStart"/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колышковые</w:t>
            </w:r>
            <w:proofErr w:type="spellEnd"/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постели;</w:t>
            </w:r>
          </w:p>
          <w:p w14:paraId="1D8404BD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лекальные постели;</w:t>
            </w:r>
          </w:p>
          <w:p w14:paraId="6CB68479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Контролировать положение шпангоутов;</w:t>
            </w:r>
          </w:p>
          <w:p w14:paraId="3105108A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технологическую оснастку;</w:t>
            </w:r>
          </w:p>
          <w:p w14:paraId="2A585E44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-Применять технологическую оснастку для уменьшения местных и общих деформаций;</w:t>
            </w:r>
          </w:p>
          <w:p w14:paraId="1B253245" w14:textId="77777777" w:rsidR="009356DA" w:rsidRPr="009356DA" w:rsidRDefault="009356DA" w:rsidP="00935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технологическую оснастку без нанесения повреждений основной конструкции.</w:t>
            </w:r>
          </w:p>
          <w:p w14:paraId="7D063331" w14:textId="77777777" w:rsidR="009356DA" w:rsidRPr="009356DA" w:rsidRDefault="009356DA" w:rsidP="009356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6CC7E" w14:textId="77777777" w:rsidR="009356DA" w:rsidRPr="000244DA" w:rsidRDefault="009356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582CE73E" w14:textId="77777777" w:rsidTr="00EF0C6C">
        <w:trPr>
          <w:trHeight w:val="3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78C36BE" w14:textId="77777777" w:rsidR="0014399B" w:rsidRPr="000244DA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CDC69" w14:textId="77777777" w:rsidR="0014399B" w:rsidRPr="0014399B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sz w:val="28"/>
                <w:szCs w:val="28"/>
              </w:rPr>
              <w:t>Разметочные работы с использованием ПТА.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06344" w14:textId="77777777" w:rsidR="0014399B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14:paraId="6FC8B16C" w14:textId="77777777" w:rsidTr="00EF0C6C">
        <w:trPr>
          <w:trHeight w:val="339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B01090" w14:textId="77777777" w:rsidR="0014399B" w:rsidRPr="000244DA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84963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FA45C70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Плазово</w:t>
            </w:r>
            <w:proofErr w:type="spellEnd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-технологическую документацию</w:t>
            </w:r>
            <w:r w:rsidR="0049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плазово</w:t>
            </w:r>
            <w:proofErr w:type="spellEnd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-технологический альбом);</w:t>
            </w:r>
          </w:p>
          <w:p w14:paraId="5F7B3018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Рабоче-конструкторскую документацию;</w:t>
            </w:r>
          </w:p>
          <w:p w14:paraId="13F0E8DB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припусков на усадку полотен от сварки между собой, от приварки холостого набора, от приварки рамного набора;</w:t>
            </w:r>
          </w:p>
          <w:p w14:paraId="1C21CEC3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Этапы нанесения разметки.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5C0F7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4C1861C7" w14:textId="77777777" w:rsidTr="00EF0C6C">
        <w:trPr>
          <w:trHeight w:val="17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4B7972" w14:textId="77777777" w:rsidR="0014399B" w:rsidRPr="000244DA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EAB9B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18A450E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Выдерживать шпацию по всей длине изготавливаемой конструкции;</w:t>
            </w:r>
          </w:p>
          <w:p w14:paraId="10881709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Размечать и стыковать плоские полотна;</w:t>
            </w:r>
          </w:p>
          <w:p w14:paraId="4FE86BCA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Размечать и стыковать криволинейные полотна;</w:t>
            </w:r>
          </w:p>
          <w:p w14:paraId="227C1514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Устанавливать набор по нанесенной разметке;</w:t>
            </w:r>
          </w:p>
          <w:p w14:paraId="0D415AF0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Учитывать при разметке припуска на усадку;</w:t>
            </w:r>
          </w:p>
          <w:p w14:paraId="1F4A6548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Определять возможные усадки при стыковке полотен из разных толщин.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C4890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0C0486B0" w14:textId="77777777" w:rsidTr="00EF0C6C">
        <w:trPr>
          <w:trHeight w:val="3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E6BE23D" w14:textId="77777777" w:rsidR="0014399B" w:rsidRPr="000244DA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31AEB" w14:textId="77777777" w:rsidR="0014399B" w:rsidRPr="0014399B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Газопламенная и механическая резка.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4A1" w14:textId="77777777" w:rsidR="0014399B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14:paraId="63489EB1" w14:textId="77777777" w:rsidTr="00EF0C6C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AFCB61" w14:textId="77777777" w:rsidR="0014399B" w:rsidRPr="000244DA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1FFC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049AE90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производства резки сталей повышенной прочности с толщинами до 60 мм;</w:t>
            </w:r>
          </w:p>
          <w:p w14:paraId="75BA7DA3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инструмента для резки.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2C051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2634E506" w14:textId="77777777" w:rsidTr="00EF0C6C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FCE023" w14:textId="77777777" w:rsidR="0014399B" w:rsidRPr="000244DA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F97E0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7E23B47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качественные фаски и ласки на деталях толщинами до 60 мм в неудобных положениях.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D08A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66B5FD10" w14:textId="77777777" w:rsidTr="00EF0C6C">
        <w:trPr>
          <w:trHeight w:val="368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42D512" w14:textId="77777777" w:rsidR="0014399B" w:rsidRPr="0014399B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EEBA" w14:textId="77777777" w:rsidR="0014399B" w:rsidRPr="0014399B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Сборочные работы с подготовкой под сварку.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3195" w14:textId="77777777" w:rsidR="0014399B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399B" w:rsidRPr="003732A7" w14:paraId="62F45D3E" w14:textId="77777777" w:rsidTr="00EF0C6C">
        <w:trPr>
          <w:trHeight w:val="2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BA4A24" w14:textId="77777777" w:rsidR="0014399B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4687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8DA832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сборки узлов, подсекций, секций, фундаментов из сталей повышенной прочности с толщинами до 60 мм, а также монтажа при формировании корпуса;</w:t>
            </w:r>
          </w:p>
          <w:p w14:paraId="077A6973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инструмента и оснастки для сборки КМС;</w:t>
            </w:r>
          </w:p>
          <w:p w14:paraId="7E2C07BD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Необходимость обязательной подготовки под сварку элементов КМС из сталей повышенной прочности.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1C8E1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2F1B31DB" w14:textId="77777777" w:rsidTr="00EF0C6C">
        <w:trPr>
          <w:trHeight w:val="1555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9F6F4" w14:textId="77777777" w:rsidR="0014399B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C9E7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71585E7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сборочные операции по КМС на всех этапах строительства судна с обязательной подготовкой под сварку.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EA05E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62F76A08" w14:textId="77777777" w:rsidTr="00EF0C6C">
        <w:trPr>
          <w:trHeight w:val="399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47420" w14:textId="77777777" w:rsidR="0014399B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7DA19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Сварочные работы.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CF31" w14:textId="77777777" w:rsidR="0014399B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14:paraId="12876219" w14:textId="77777777" w:rsidTr="00EF0C6C">
        <w:trPr>
          <w:trHeight w:val="35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ABAFF0" w14:textId="77777777" w:rsidR="0014399B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6DC4" w14:textId="77777777" w:rsidR="0014399B" w:rsidRPr="0014399B" w:rsidRDefault="0014399B" w:rsidP="0014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C44E168" w14:textId="77777777" w:rsidR="0014399B" w:rsidRPr="0014399B" w:rsidRDefault="0014399B" w:rsidP="001439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производства сварочных работ ручной дуговой сваркой и полуавтоматом в соответствии с применяемыми СПС.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80729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4C745D8C" w14:textId="77777777" w:rsidTr="00EF0C6C">
        <w:trPr>
          <w:trHeight w:val="168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B2761" w14:textId="77777777" w:rsidR="0014399B" w:rsidRDefault="0014399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AD54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1BB01103" w14:textId="77777777" w:rsidR="0014399B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Выполнять качественно сварочные работы ручной дуговой сваркой и полуавтоматом в соответствии с применяемыми СПС.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95AFC" w14:textId="77777777" w:rsidR="0014399B" w:rsidRPr="000244DA" w:rsidRDefault="0014399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C6C" w:rsidRPr="003732A7" w14:paraId="21D8F444" w14:textId="77777777" w:rsidTr="00EF0C6C">
        <w:trPr>
          <w:trHeight w:val="693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5A232" w14:textId="77777777" w:rsidR="00EF0C6C" w:rsidRDefault="00EF0C6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C25F0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геометрических характеристик конструкции для возможности монтажа на стапеле.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856DC" w14:textId="77777777" w:rsidR="00EF0C6C" w:rsidRPr="000244DA" w:rsidRDefault="00EF0C6C" w:rsidP="00EF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C6C" w:rsidRPr="003732A7" w14:paraId="4512AB74" w14:textId="77777777" w:rsidTr="00EF0C6C">
        <w:trPr>
          <w:trHeight w:val="26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1F8CFA" w14:textId="77777777" w:rsidR="00EF0C6C" w:rsidRDefault="00EF0C6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161C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B0CE7FD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проведения размерного контроля на всех этапах изготовления КМС;</w:t>
            </w:r>
          </w:p>
          <w:p w14:paraId="392CE17A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оборудования и инструмента для проведения замеров;</w:t>
            </w:r>
          </w:p>
          <w:p w14:paraId="09D2D5DF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Допуски на изготовления различных элементов КМС;</w:t>
            </w:r>
          </w:p>
          <w:p w14:paraId="7863899A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Специфичные требования классификационных обществ;</w:t>
            </w:r>
          </w:p>
          <w:p w14:paraId="1DA2BEA0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исправления отклонений от заданных параметров;</w:t>
            </w:r>
          </w:p>
          <w:p w14:paraId="0777C656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правки корпусных конструкций как нагревом, так и с помощью установки несъемных ребер жесткости.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08C4A" w14:textId="77777777" w:rsidR="00EF0C6C" w:rsidRPr="000244DA" w:rsidRDefault="00EF0C6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C6C" w:rsidRPr="00490BF0" w14:paraId="636B4014" w14:textId="77777777" w:rsidTr="00EF0C6C">
        <w:trPr>
          <w:trHeight w:val="24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48604C" w14:textId="77777777" w:rsidR="00EF0C6C" w:rsidRDefault="00EF0C6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337AD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F9BA943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Раскреплять корпусные конструкции для предупреждения деформаций;</w:t>
            </w:r>
          </w:p>
          <w:p w14:paraId="61B938C5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приборы и средства для проведения промышленных измерений;</w:t>
            </w:r>
          </w:p>
          <w:p w14:paraId="19C3B7B5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Производить ремонт корпусных конструкций при обнаружении отклонений;</w:t>
            </w:r>
          </w:p>
          <w:p w14:paraId="046B61F1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Анализировать достаточность припуска, который заложен для монтажа;</w:t>
            </w:r>
          </w:p>
          <w:p w14:paraId="2698FD18" w14:textId="77777777" w:rsidR="00EF0C6C" w:rsidRPr="00EF0C6C" w:rsidRDefault="00EF0C6C" w:rsidP="00EF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-Причерчивать секции на стапеле.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25171" w14:textId="77777777" w:rsidR="00EF0C6C" w:rsidRPr="000244DA" w:rsidRDefault="00EF0C6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62BEA" w14:textId="77777777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4F7205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4D604A1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7C7407" w14:textId="77777777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1E7BD45C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F8EA086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DB0DE26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35475978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882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0"/>
        <w:gridCol w:w="990"/>
        <w:gridCol w:w="992"/>
        <w:gridCol w:w="2002"/>
        <w:gridCol w:w="2051"/>
      </w:tblGrid>
      <w:tr w:rsidR="004E785E" w:rsidRPr="00613219" w14:paraId="64B33E6D" w14:textId="77777777" w:rsidTr="00794A67">
        <w:trPr>
          <w:trHeight w:val="1538"/>
          <w:jc w:val="center"/>
        </w:trPr>
        <w:tc>
          <w:tcPr>
            <w:tcW w:w="3934" w:type="pct"/>
            <w:gridSpan w:val="6"/>
            <w:shd w:val="clear" w:color="auto" w:fill="92D050"/>
            <w:vAlign w:val="center"/>
          </w:tcPr>
          <w:p w14:paraId="0D4023FE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6" w:type="pct"/>
            <w:shd w:val="clear" w:color="auto" w:fill="92D050"/>
            <w:vAlign w:val="center"/>
          </w:tcPr>
          <w:p w14:paraId="70B1811E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94A67" w:rsidRPr="00613219" w14:paraId="6594AD20" w14:textId="77777777" w:rsidTr="00794A67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4B6ED668" w14:textId="77777777" w:rsidR="00794A67" w:rsidRPr="00613219" w:rsidRDefault="00794A6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76242274" w14:textId="77777777" w:rsidR="00794A67" w:rsidRPr="00613219" w:rsidRDefault="00794A6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634AB1B4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43902014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0B2B895E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77" w:type="pct"/>
            <w:shd w:val="clear" w:color="auto" w:fill="00B050"/>
            <w:vAlign w:val="center"/>
          </w:tcPr>
          <w:p w14:paraId="2041966B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6" w:type="pct"/>
            <w:shd w:val="clear" w:color="auto" w:fill="00B050"/>
            <w:vAlign w:val="center"/>
          </w:tcPr>
          <w:p w14:paraId="0F34545A" w14:textId="77777777" w:rsidR="00794A67" w:rsidRPr="00613219" w:rsidRDefault="00794A6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94A67" w:rsidRPr="00613219" w14:paraId="4DC4D31A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3C299D1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B939DB3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5915AD66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540" w:type="pct"/>
            <w:vAlign w:val="center"/>
          </w:tcPr>
          <w:p w14:paraId="2FAA05E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541" w:type="pct"/>
            <w:vAlign w:val="center"/>
          </w:tcPr>
          <w:p w14:paraId="28B28089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77" w:type="pct"/>
            <w:vAlign w:val="center"/>
          </w:tcPr>
          <w:p w14:paraId="62F9D206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24FB0A3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94A67" w:rsidRPr="00613219" w14:paraId="452F968B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2E3597A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6EC464F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215205E4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7,5</w:t>
            </w:r>
          </w:p>
        </w:tc>
        <w:tc>
          <w:tcPr>
            <w:tcW w:w="540" w:type="pct"/>
            <w:vAlign w:val="center"/>
          </w:tcPr>
          <w:p w14:paraId="62B8B05A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541" w:type="pct"/>
            <w:vAlign w:val="center"/>
          </w:tcPr>
          <w:p w14:paraId="62525332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77" w:type="pct"/>
            <w:vAlign w:val="center"/>
          </w:tcPr>
          <w:p w14:paraId="0B4E9197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6033FAF6" w14:textId="77777777" w:rsidR="00794A67" w:rsidRPr="00794A67" w:rsidRDefault="00794A67" w:rsidP="00794A6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15</w:t>
            </w:r>
          </w:p>
        </w:tc>
      </w:tr>
      <w:tr w:rsidR="00794A67" w:rsidRPr="00613219" w14:paraId="1BB98EC6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4DAF30E8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4F40906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310B15BB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114D65A7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1" w:type="pct"/>
            <w:vAlign w:val="center"/>
          </w:tcPr>
          <w:p w14:paraId="61416C6A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pct"/>
            <w:vAlign w:val="center"/>
          </w:tcPr>
          <w:p w14:paraId="25E919EB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7A940610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794A67" w:rsidRPr="00613219" w14:paraId="0FC461AF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38A6F841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88EA389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1324BB61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03352E6A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2A425880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7" w:type="pct"/>
            <w:vAlign w:val="center"/>
          </w:tcPr>
          <w:p w14:paraId="4E49DEA0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02EE6C7B" w14:textId="77777777" w:rsidR="00794A67" w:rsidRPr="00794A67" w:rsidRDefault="00794A67" w:rsidP="00794A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94A67" w:rsidRPr="00613219" w14:paraId="1D354E67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7BE4367D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D0B47ED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34D34C4E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92313E5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41BEFD93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77" w:type="pct"/>
            <w:vAlign w:val="center"/>
          </w:tcPr>
          <w:p w14:paraId="5712D1E2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080AB102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94A67" w:rsidRPr="00613219" w14:paraId="4B2362AC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10D937F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0E02CF4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532960DC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7575B80D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1" w:type="pct"/>
            <w:vAlign w:val="center"/>
          </w:tcPr>
          <w:p w14:paraId="4022CCA6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77" w:type="pct"/>
            <w:vAlign w:val="center"/>
          </w:tcPr>
          <w:p w14:paraId="1211D4F3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51231D2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794A67" w:rsidRPr="00613219" w14:paraId="43CA316F" w14:textId="77777777" w:rsidTr="00794A67">
        <w:trPr>
          <w:trHeight w:val="265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78D4F15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31F9000" w14:textId="77777777" w:rsidR="00794A67" w:rsidRPr="00613219" w:rsidRDefault="00794A67" w:rsidP="00794A67">
            <w:pPr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14:paraId="1CE432C2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797BFF89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25071A6A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7" w:type="pct"/>
            <w:vAlign w:val="center"/>
          </w:tcPr>
          <w:p w14:paraId="1C8D20DD" w14:textId="77777777" w:rsidR="00794A67" w:rsidRPr="00794A67" w:rsidRDefault="00794A67" w:rsidP="00794A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6D327548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613219">
              <w:rPr>
                <w:sz w:val="22"/>
                <w:szCs w:val="22"/>
              </w:rPr>
              <w:t xml:space="preserve"> </w:t>
            </w:r>
          </w:p>
        </w:tc>
      </w:tr>
      <w:tr w:rsidR="00794A67" w:rsidRPr="00613219" w14:paraId="7456E028" w14:textId="77777777" w:rsidTr="00794A67">
        <w:trPr>
          <w:trHeight w:val="16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3ED746EA" w14:textId="77777777" w:rsidR="00794A67" w:rsidRPr="00613219" w:rsidRDefault="00794A67" w:rsidP="00C17B01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3C865CF" w14:textId="77777777" w:rsidR="00794A67" w:rsidRDefault="00794A67" w:rsidP="00794A6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8</w:t>
            </w:r>
          </w:p>
        </w:tc>
        <w:tc>
          <w:tcPr>
            <w:tcW w:w="540" w:type="pct"/>
            <w:vAlign w:val="center"/>
          </w:tcPr>
          <w:p w14:paraId="19F69822" w14:textId="77777777" w:rsidR="00794A67" w:rsidRPr="00613219" w:rsidRDefault="00794A67" w:rsidP="00C17B01">
            <w:pPr>
              <w:jc w:val="center"/>
            </w:pPr>
          </w:p>
        </w:tc>
        <w:tc>
          <w:tcPr>
            <w:tcW w:w="540" w:type="pct"/>
            <w:vAlign w:val="center"/>
          </w:tcPr>
          <w:p w14:paraId="24371357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541" w:type="pct"/>
            <w:vAlign w:val="center"/>
          </w:tcPr>
          <w:p w14:paraId="6FEDB2EA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077" w:type="pct"/>
            <w:vAlign w:val="center"/>
          </w:tcPr>
          <w:p w14:paraId="0CF5B1B3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48AEC8B7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94A67" w:rsidRPr="00613219" w14:paraId="6170A092" w14:textId="77777777" w:rsidTr="00794A67">
        <w:trPr>
          <w:trHeight w:val="138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43E249E7" w14:textId="77777777" w:rsidR="00794A67" w:rsidRPr="00613219" w:rsidRDefault="00794A6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5B3A07FF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5C519CC0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41F746CB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22,5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4663B9CE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7ADBE86D" w14:textId="77777777" w:rsidR="00794A67" w:rsidRPr="00613219" w:rsidRDefault="00794A6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8CCEE5C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119CA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EA7101B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4A21BEB7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B9E4355" w14:textId="77777777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9C6FB" w14:textId="77777777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36061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FB530DE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392DE997" w14:textId="77777777" w:rsidTr="00437D28">
        <w:tc>
          <w:tcPr>
            <w:tcW w:w="1851" w:type="pct"/>
            <w:gridSpan w:val="2"/>
            <w:shd w:val="clear" w:color="auto" w:fill="92D050"/>
          </w:tcPr>
          <w:p w14:paraId="1520A75E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0C17839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387D7349" w14:textId="77777777" w:rsidTr="00D17132">
        <w:tc>
          <w:tcPr>
            <w:tcW w:w="282" w:type="pct"/>
            <w:shd w:val="clear" w:color="auto" w:fill="00B050"/>
          </w:tcPr>
          <w:p w14:paraId="31671940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B408C75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Разработка принципиальной технологии</w:t>
            </w:r>
          </w:p>
        </w:tc>
        <w:tc>
          <w:tcPr>
            <w:tcW w:w="3149" w:type="pct"/>
            <w:shd w:val="clear" w:color="auto" w:fill="auto"/>
          </w:tcPr>
          <w:p w14:paraId="56594709" w14:textId="77777777" w:rsidR="005E4332" w:rsidRPr="00101A29" w:rsidRDefault="005E4332" w:rsidP="005E43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01A29">
              <w:rPr>
                <w:color w:val="auto"/>
                <w:sz w:val="28"/>
                <w:szCs w:val="28"/>
              </w:rPr>
              <w:t>Проверяется наличие всех необходимых операций и их последовательность.</w:t>
            </w:r>
          </w:p>
          <w:p w14:paraId="3A06F8A4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4099CDB4" w14:textId="77777777" w:rsidTr="00D17132">
        <w:tc>
          <w:tcPr>
            <w:tcW w:w="282" w:type="pct"/>
            <w:shd w:val="clear" w:color="auto" w:fill="00B050"/>
          </w:tcPr>
          <w:p w14:paraId="3FBC8AD7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F273358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постели</w:t>
            </w:r>
          </w:p>
        </w:tc>
        <w:tc>
          <w:tcPr>
            <w:tcW w:w="3149" w:type="pct"/>
            <w:shd w:val="clear" w:color="auto" w:fill="auto"/>
          </w:tcPr>
          <w:p w14:paraId="5DE99D9E" w14:textId="147223C6" w:rsidR="005E4332" w:rsidRPr="00101A29" w:rsidRDefault="005E4332" w:rsidP="005E43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 xml:space="preserve">змерение и судейское </w:t>
            </w:r>
            <w:r w:rsidR="00DD4435" w:rsidRPr="00101A29">
              <w:rPr>
                <w:b/>
                <w:sz w:val="28"/>
                <w:szCs w:val="28"/>
              </w:rPr>
              <w:t>решение</w:t>
            </w:r>
            <w:proofErr w:type="gramStart"/>
            <w:r w:rsidR="00DD4435" w:rsidRPr="00101A29">
              <w:rPr>
                <w:b/>
                <w:sz w:val="28"/>
                <w:szCs w:val="28"/>
              </w:rPr>
              <w:t>:</w:t>
            </w:r>
            <w:r w:rsidR="009F201D">
              <w:rPr>
                <w:b/>
                <w:sz w:val="28"/>
                <w:szCs w:val="28"/>
              </w:rPr>
              <w:t xml:space="preserve"> </w:t>
            </w:r>
            <w:r w:rsidR="00DD4435" w:rsidRPr="00101A29">
              <w:rPr>
                <w:color w:val="auto"/>
                <w:sz w:val="28"/>
                <w:szCs w:val="28"/>
              </w:rPr>
              <w:t>Проверяется</w:t>
            </w:r>
            <w:proofErr w:type="gramEnd"/>
            <w:r w:rsidRPr="00101A29">
              <w:rPr>
                <w:color w:val="auto"/>
                <w:sz w:val="28"/>
                <w:szCs w:val="28"/>
              </w:rPr>
              <w:t xml:space="preserve"> правильность выполнения сварки (соответствие СПС),</w:t>
            </w:r>
            <w:r w:rsidR="009F201D"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 xml:space="preserve">качество </w:t>
            </w:r>
            <w:r w:rsidR="007F673D">
              <w:rPr>
                <w:sz w:val="28"/>
                <w:szCs w:val="28"/>
              </w:rPr>
              <w:t>тепловой (</w:t>
            </w:r>
            <w:r w:rsidR="007F673D" w:rsidRPr="002F5724">
              <w:rPr>
                <w:sz w:val="28"/>
                <w:szCs w:val="28"/>
              </w:rPr>
              <w:t>газовой</w:t>
            </w:r>
            <w:r w:rsidR="007F673D">
              <w:rPr>
                <w:sz w:val="28"/>
                <w:szCs w:val="28"/>
              </w:rPr>
              <w:t xml:space="preserve"> или плазменной)</w:t>
            </w:r>
            <w:r w:rsidR="007F673D" w:rsidRPr="002F5724">
              <w:rPr>
                <w:sz w:val="28"/>
                <w:szCs w:val="28"/>
              </w:rPr>
              <w:t xml:space="preserve"> резки</w:t>
            </w:r>
            <w:r w:rsidRPr="00101A29">
              <w:rPr>
                <w:color w:val="auto"/>
                <w:sz w:val="28"/>
                <w:szCs w:val="28"/>
              </w:rPr>
              <w:t>,</w:t>
            </w:r>
            <w:r w:rsidR="00F84DD0"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 xml:space="preserve">габариты колышков, их </w:t>
            </w:r>
            <w:r w:rsidRPr="00101A29">
              <w:rPr>
                <w:color w:val="auto"/>
                <w:sz w:val="28"/>
                <w:szCs w:val="28"/>
              </w:rPr>
              <w:lastRenderedPageBreak/>
              <w:t>перпендикулярность и координаты их установки на стенде.</w:t>
            </w:r>
          </w:p>
          <w:p w14:paraId="6650B0C1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03B1B6E0" w14:textId="77777777" w:rsidTr="00D17132">
        <w:tc>
          <w:tcPr>
            <w:tcW w:w="282" w:type="pct"/>
            <w:shd w:val="clear" w:color="auto" w:fill="00B050"/>
          </w:tcPr>
          <w:p w14:paraId="67755A50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C16ACCB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деталей (узлов)</w:t>
            </w:r>
          </w:p>
        </w:tc>
        <w:tc>
          <w:tcPr>
            <w:tcW w:w="3149" w:type="pct"/>
            <w:shd w:val="clear" w:color="auto" w:fill="auto"/>
          </w:tcPr>
          <w:p w14:paraId="2CEFB9A5" w14:textId="5C9F5FB6" w:rsidR="00437D28" w:rsidRPr="009D04EE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</w:t>
            </w:r>
            <w:r w:rsidR="00DD4435" w:rsidRPr="00101A29">
              <w:rPr>
                <w:b/>
                <w:sz w:val="28"/>
                <w:szCs w:val="28"/>
              </w:rPr>
              <w:t>:</w:t>
            </w:r>
            <w:r w:rsidR="00DD4435" w:rsidRPr="00101A29">
              <w:rPr>
                <w:sz w:val="28"/>
                <w:szCs w:val="28"/>
              </w:rPr>
              <w:t xml:space="preserve"> проверяются</w:t>
            </w:r>
            <w:r w:rsidRPr="00101A29">
              <w:rPr>
                <w:sz w:val="28"/>
                <w:szCs w:val="28"/>
              </w:rPr>
              <w:t xml:space="preserve"> габаритные размеры деталей, правильность выполнения фасок и ласок, а также качество </w:t>
            </w:r>
            <w:r w:rsidR="007F673D">
              <w:rPr>
                <w:color w:val="000000"/>
                <w:sz w:val="28"/>
                <w:szCs w:val="28"/>
              </w:rPr>
              <w:t>тепловой (</w:t>
            </w:r>
            <w:r w:rsidR="007F673D" w:rsidRPr="002F5724">
              <w:rPr>
                <w:color w:val="000000"/>
                <w:sz w:val="28"/>
                <w:szCs w:val="28"/>
              </w:rPr>
              <w:t>газовой</w:t>
            </w:r>
            <w:r w:rsidR="007F673D">
              <w:rPr>
                <w:color w:val="000000"/>
                <w:sz w:val="28"/>
                <w:szCs w:val="28"/>
              </w:rPr>
              <w:t xml:space="preserve"> или плазменной)</w:t>
            </w:r>
            <w:r w:rsidR="007F673D" w:rsidRPr="002F5724">
              <w:rPr>
                <w:color w:val="000000"/>
                <w:sz w:val="28"/>
                <w:szCs w:val="28"/>
              </w:rPr>
              <w:t xml:space="preserve"> резки</w:t>
            </w:r>
            <w:r w:rsidRPr="00101A29">
              <w:rPr>
                <w:sz w:val="28"/>
                <w:szCs w:val="28"/>
              </w:rPr>
              <w:t>. Узлы, в которых предусмотрена сварка проверяются на правильность ее выполнения (соответствие СПС).</w:t>
            </w:r>
          </w:p>
        </w:tc>
      </w:tr>
      <w:tr w:rsidR="00437D28" w:rsidRPr="009D04EE" w14:paraId="00DD3F87" w14:textId="77777777" w:rsidTr="00D17132">
        <w:tc>
          <w:tcPr>
            <w:tcW w:w="282" w:type="pct"/>
            <w:shd w:val="clear" w:color="auto" w:fill="00B050"/>
          </w:tcPr>
          <w:p w14:paraId="53C1713C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F21FE09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подсекции</w:t>
            </w:r>
          </w:p>
        </w:tc>
        <w:tc>
          <w:tcPr>
            <w:tcW w:w="3149" w:type="pct"/>
            <w:shd w:val="clear" w:color="auto" w:fill="auto"/>
          </w:tcPr>
          <w:p w14:paraId="161B870C" w14:textId="522508A1" w:rsidR="005E4332" w:rsidRDefault="005E4332" w:rsidP="005E4332">
            <w:pPr>
              <w:widowControl w:val="0"/>
              <w:tabs>
                <w:tab w:val="left" w:pos="1657"/>
              </w:tabs>
              <w:autoSpaceDE w:val="0"/>
              <w:autoSpaceDN w:val="0"/>
              <w:spacing w:before="157" w:line="276" w:lineRule="auto"/>
              <w:ind w:right="237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</w:t>
            </w:r>
            <w:r w:rsidR="00DD4435" w:rsidRPr="00101A29">
              <w:rPr>
                <w:b/>
                <w:sz w:val="28"/>
                <w:szCs w:val="28"/>
              </w:rPr>
              <w:t>:</w:t>
            </w:r>
            <w:r w:rsidR="00DD4435" w:rsidRPr="00101A29">
              <w:rPr>
                <w:sz w:val="28"/>
                <w:szCs w:val="28"/>
              </w:rPr>
              <w:t xml:space="preserve"> проверяются</w:t>
            </w:r>
            <w:r w:rsidRPr="00101A29">
              <w:rPr>
                <w:sz w:val="28"/>
                <w:szCs w:val="28"/>
              </w:rPr>
              <w:t xml:space="preserve"> габаритные размеры подсекции, качество сварки, а </w:t>
            </w:r>
            <w:r w:rsidR="00DD4435" w:rsidRPr="00101A29">
              <w:rPr>
                <w:sz w:val="28"/>
                <w:szCs w:val="28"/>
              </w:rPr>
              <w:t>также</w:t>
            </w:r>
            <w:r w:rsidRPr="00101A29">
              <w:rPr>
                <w:sz w:val="28"/>
                <w:szCs w:val="28"/>
              </w:rPr>
              <w:t xml:space="preserve"> правильность подготовки монтажных стыков и пазов под сварку.</w:t>
            </w:r>
            <w:r>
              <w:rPr>
                <w:sz w:val="28"/>
                <w:lang w:eastAsia="en-US"/>
              </w:rPr>
              <w:t xml:space="preserve"> У Конкурсантов будут вычтены баллы за любое использование дополнительного материала (который указан в ИЛ) для завершения КЗ при неточности, повреждении детали при работе.</w:t>
            </w:r>
          </w:p>
          <w:p w14:paraId="3918A0CA" w14:textId="77777777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2DABEDD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8ED31" w14:textId="77777777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09104BFE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514004EC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5E43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4332" w:rsidRPr="005E433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009ADAC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2E587474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2785F3C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EEA3326" w14:textId="5143885A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r w:rsidR="00DD4435">
        <w:rPr>
          <w:rFonts w:ascii="Times New Roman" w:hAnsi="Times New Roman" w:cs="Times New Roman"/>
          <w:b/>
          <w:bCs/>
          <w:sz w:val="28"/>
          <w:szCs w:val="28"/>
        </w:rPr>
        <w:t>Яндекс Диск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B9150A" w14:textId="77815427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</w:t>
      </w:r>
      <w:r w:rsidR="0053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49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C6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90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7C691179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5D03DED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0E48764" w14:textId="77777777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5A2AB615" w14:textId="77777777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31F2091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33982AA8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6FA94AF7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CADE110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459FFC0D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25956560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6F5EE7DE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26F2213E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2BF39D9B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D53685C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3D76351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290A08B9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00FD6313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13CE766B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72A1A848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3EC1CD73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3BF1FB35" w14:textId="77777777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D3EE710" w14:textId="77777777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01331D3E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917E" w14:textId="77777777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07DB4A92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88012" w14:textId="1C8682D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принципиальной технологии.</w:t>
      </w:r>
      <w:r w:rsidR="00393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D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8D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8D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0E5F722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90BF0">
        <w:rPr>
          <w:rFonts w:ascii="Times New Roman" w:eastAsia="Times New Roman" w:hAnsi="Times New Roman" w:cs="Times New Roman"/>
          <w:bCs/>
          <w:i/>
          <w:sz w:val="28"/>
          <w:szCs w:val="28"/>
        </w:rPr>
        <w:t>я: 2 часа</w:t>
      </w:r>
    </w:p>
    <w:p w14:paraId="7146CB93" w14:textId="540483F6" w:rsidR="00730AE0" w:rsidRPr="00C97E44" w:rsidRDefault="00DD443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490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6B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490BF0"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разработать принципиальную технологию изготовления секции, выбранной путем жеребьевки (например, днищевая, бортовая, палубная, кормовой и носовой оконечности, надстройки). </w:t>
      </w:r>
      <w:r w:rsidR="00490BF0"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Принципиальная технология изготовления типовой секции представляет собой перечень последовательных операций согласно ОСТ.  Проверяется наличие всех необходимых операций и их последовательность.</w:t>
      </w:r>
    </w:p>
    <w:p w14:paraId="43FCB4FF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B8785F" w14:textId="07D3036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постели</w:t>
      </w:r>
      <w:r w:rsidR="00393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FEEB744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- 4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3F994FB" w14:textId="30C31D38" w:rsidR="00730AE0" w:rsidRPr="002F5724" w:rsidRDefault="00DD443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BA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изготовить технологическую постель (</w:t>
      </w:r>
      <w:proofErr w:type="spellStart"/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колышковую</w:t>
      </w:r>
      <w:proofErr w:type="spellEnd"/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лекальную) для сборки и сварки криволинейной 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подсекции.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участнику необходимо разметить стенд (при его отсутствии изготовить имитацию), изготовить при помощи газорезки, сборочной оснастки и сварки стойки заданной высоты - тавровые балки, установить по разметке стойки, прихватив их к стенду, соблюдая перпендикулярность. Проверяется правильность выполнения 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сварки (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СПС), габариты колышков, их перпендикулярность и координаты их установки на стенде.</w:t>
      </w:r>
    </w:p>
    <w:p w14:paraId="68D51C86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43B7D" w14:textId="397784B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деталей и узлов подсекции</w:t>
      </w:r>
      <w:r w:rsidR="00393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75AF915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- 6 часов</w:t>
      </w:r>
    </w:p>
    <w:p w14:paraId="2812903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2F5724" w:rsidRPr="00BA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произвести раскрой металла, для возможности изготовления всех деталей узлов и подсекции в условиях ограниченного количества выданного металла. Произвести резку, снятие фасок и ласок, а также подготовку под сварку в соответствии с чертежом. Проверяются габаритные размеры деталей, правильность выполнения фасок и ласок, а также качество </w:t>
      </w:r>
      <w:r w:rsidR="007F673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(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газовой</w:t>
      </w:r>
      <w:r w:rsidR="007F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плазменной)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резки. Узлы, в которых предусмотрена сварка проверяются на правильность ее выполнения (соответствие СПС)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32816A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BA2A4" w14:textId="3EF372C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F5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</w:t>
      </w:r>
      <w:proofErr w:type="gramStart"/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подсекции.</w:t>
      </w:r>
      <w:r w:rsidR="00393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393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6CBB2D0A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- 6 часов</w:t>
      </w:r>
    </w:p>
    <w:p w14:paraId="63BBD310" w14:textId="0ECA9C3D" w:rsidR="002F5724" w:rsidRPr="002F5724" w:rsidRDefault="00730AE0" w:rsidP="002F57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Pr="002F57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F5724" w:rsidRPr="002F57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произвести монтаж листов наружной обшивки между собой и к постели, выполнить </w:t>
      </w:r>
      <w:r w:rsidR="00DD4435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разметку (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ПТА) под установку холостого и рамного набора, установить набор с помощью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оснастки и состыковать между собой, установить остальные детали в соответствии с чертежом, произвести сварку. Проверяются габаритные размеры подсекции, качество сварки, а </w:t>
      </w:r>
      <w:r w:rsidR="00DD4435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 подготовки монтажных стыков и пазов под сварку.</w:t>
      </w:r>
    </w:p>
    <w:p w14:paraId="379D0586" w14:textId="77777777" w:rsidR="00730AE0" w:rsidRPr="00E15F2A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</w:p>
    <w:p w14:paraId="1DE9B10F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A5BF3" w14:textId="77777777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EE64867" w14:textId="77777777" w:rsidR="00D17132" w:rsidRDefault="008B1A80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23746A11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15CF10" w14:textId="77777777" w:rsidR="00E15F2A" w:rsidRPr="007B485A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 w:rsidRPr="007B485A">
        <w:rPr>
          <w:rFonts w:ascii="Times New Roman" w:hAnsi="Times New Roman"/>
          <w:color w:val="000000"/>
          <w:sz w:val="24"/>
        </w:rPr>
        <w:t>2</w:t>
      </w:r>
      <w:r w:rsidR="00FB022D" w:rsidRPr="007B485A">
        <w:rPr>
          <w:rFonts w:ascii="Times New Roman" w:hAnsi="Times New Roman"/>
          <w:color w:val="000000"/>
          <w:sz w:val="24"/>
        </w:rPr>
        <w:t>.</w:t>
      </w:r>
      <w:r w:rsidRPr="007B485A">
        <w:rPr>
          <w:rFonts w:ascii="Times New Roman" w:hAnsi="Times New Roman"/>
          <w:color w:val="000000"/>
          <w:sz w:val="24"/>
        </w:rPr>
        <w:t>1</w:t>
      </w:r>
      <w:r w:rsidR="00FB022D" w:rsidRPr="007B485A">
        <w:rPr>
          <w:rFonts w:ascii="Times New Roman" w:hAnsi="Times New Roman"/>
          <w:color w:val="000000"/>
          <w:sz w:val="24"/>
        </w:rPr>
        <w:t xml:space="preserve">. </w:t>
      </w:r>
      <w:bookmarkEnd w:id="12"/>
      <w:r w:rsidRPr="007B485A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13B57E32" w14:textId="77777777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34B6EE6D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68E59028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49D83016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05B9A8DE" w14:textId="77777777" w:rsidR="00E15F2A" w:rsidRPr="007B485A" w:rsidRDefault="008B1A80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Список неопределённый.</w:t>
      </w:r>
    </w:p>
    <w:p w14:paraId="3E8FFD34" w14:textId="56BA935C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Лазерный уровень</w:t>
      </w:r>
      <w:r w:rsidR="006C1CC9">
        <w:rPr>
          <w:rFonts w:ascii="Times New Roman" w:eastAsia="Times New Roman" w:hAnsi="Times New Roman" w:cs="Times New Roman"/>
          <w:sz w:val="24"/>
          <w:szCs w:val="24"/>
        </w:rPr>
        <w:t xml:space="preserve"> (построитель плоскостей) или строительный уровень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F18257" w14:textId="774E02FA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УШМ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Макс. диаметр диска 125 мм. </w:t>
      </w:r>
      <w:proofErr w:type="gramStart"/>
      <w:r w:rsidR="006C1CC9">
        <w:rPr>
          <w:rFonts w:ascii="Times New Roman" w:eastAsia="Times New Roman" w:hAnsi="Times New Roman" w:cs="Times New Roman"/>
          <w:sz w:val="24"/>
          <w:szCs w:val="24"/>
        </w:rPr>
        <w:t>( макс.</w:t>
      </w:r>
      <w:proofErr w:type="gramEnd"/>
      <w:r w:rsidR="006C1CC9">
        <w:rPr>
          <w:rFonts w:ascii="Times New Roman" w:eastAsia="Times New Roman" w:hAnsi="Times New Roman" w:cs="Times New Roman"/>
          <w:sz w:val="24"/>
          <w:szCs w:val="24"/>
        </w:rPr>
        <w:t xml:space="preserve"> частота вращения диска 11500об/мин)</w:t>
      </w:r>
    </w:p>
    <w:p w14:paraId="30222444" w14:textId="071ECFEA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Очки защитные прозрачные 2 шт.</w:t>
      </w:r>
      <w:r w:rsidR="006C1CC9">
        <w:rPr>
          <w:rFonts w:ascii="Times New Roman" w:eastAsia="Times New Roman" w:hAnsi="Times New Roman" w:cs="Times New Roman"/>
          <w:sz w:val="24"/>
          <w:szCs w:val="24"/>
        </w:rPr>
        <w:t xml:space="preserve"> (закрытые)</w:t>
      </w:r>
    </w:p>
    <w:p w14:paraId="28D60452" w14:textId="0821D866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Очки для </w:t>
      </w:r>
      <w:proofErr w:type="gramStart"/>
      <w:r w:rsidR="006C1CC9">
        <w:rPr>
          <w:rFonts w:ascii="Times New Roman" w:eastAsia="Times New Roman" w:hAnsi="Times New Roman" w:cs="Times New Roman"/>
          <w:sz w:val="24"/>
          <w:szCs w:val="24"/>
        </w:rPr>
        <w:t xml:space="preserve">плазменной 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 xml:space="preserve"> резки</w:t>
      </w:r>
      <w:proofErr w:type="gramEnd"/>
      <w:r w:rsidRPr="007B485A">
        <w:rPr>
          <w:rFonts w:ascii="Times New Roman" w:eastAsia="Times New Roman" w:hAnsi="Times New Roman" w:cs="Times New Roman"/>
          <w:sz w:val="24"/>
          <w:szCs w:val="24"/>
        </w:rPr>
        <w:t xml:space="preserve"> 2 шт.</w:t>
      </w:r>
    </w:p>
    <w:p w14:paraId="3570796F" w14:textId="77777777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Металлическая щетка 2 шт.</w:t>
      </w:r>
    </w:p>
    <w:p w14:paraId="36EF6148" w14:textId="77777777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Маска сварочная 1 шт.</w:t>
      </w:r>
    </w:p>
    <w:p w14:paraId="1873C559" w14:textId="77777777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Костюм сварщика 2 шт.</w:t>
      </w:r>
    </w:p>
    <w:p w14:paraId="2C66B808" w14:textId="77777777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Обувь сварочная 2 пары.</w:t>
      </w:r>
    </w:p>
    <w:p w14:paraId="7BAED66E" w14:textId="77777777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Краги для сварщика 4 пары</w:t>
      </w:r>
    </w:p>
    <w:p w14:paraId="610BE5F3" w14:textId="60259F6B" w:rsidR="006C1CC9" w:rsidRPr="007B485A" w:rsidRDefault="008B1A80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C1CC9" w:rsidRPr="007B485A">
        <w:rPr>
          <w:rFonts w:ascii="Times New Roman" w:eastAsia="Times New Roman" w:hAnsi="Times New Roman" w:cs="Times New Roman"/>
          <w:sz w:val="24"/>
          <w:szCs w:val="24"/>
        </w:rPr>
        <w:tab/>
        <w:t>Зубило слесарное 1 шт.</w:t>
      </w:r>
    </w:p>
    <w:p w14:paraId="208193C4" w14:textId="25A00BF4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Перчатки х\б 8 пар.</w:t>
      </w:r>
    </w:p>
    <w:p w14:paraId="260E7CAE" w14:textId="3407855F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Чертилка, кернер 1 к-т.</w:t>
      </w:r>
    </w:p>
    <w:p w14:paraId="14D1D4B6" w14:textId="1C3C4EA3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Беруши 6 шт.</w:t>
      </w:r>
    </w:p>
    <w:p w14:paraId="50DA181E" w14:textId="5DBD9130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Рулетка 2 шт.</w:t>
      </w:r>
    </w:p>
    <w:p w14:paraId="59DC141C" w14:textId="27F96C90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Набор щупов 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0.1 мм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 1 шт.</w:t>
      </w:r>
    </w:p>
    <w:p w14:paraId="6AFC4E83" w14:textId="2A167E68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Наколенники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 2 пары.</w:t>
      </w:r>
    </w:p>
    <w:p w14:paraId="1B801009" w14:textId="065A1848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       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>Диск отрезной 125мм 10 шт.</w:t>
      </w:r>
    </w:p>
    <w:p w14:paraId="1AF3D807" w14:textId="7DAB1497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Диск </w:t>
      </w:r>
      <w:proofErr w:type="spellStart"/>
      <w:r w:rsidRPr="007B485A">
        <w:rPr>
          <w:rFonts w:ascii="Times New Roman" w:eastAsia="Times New Roman" w:hAnsi="Times New Roman" w:cs="Times New Roman"/>
          <w:sz w:val="24"/>
          <w:szCs w:val="24"/>
        </w:rPr>
        <w:t>зачистной</w:t>
      </w:r>
      <w:proofErr w:type="spellEnd"/>
      <w:r w:rsidRPr="007B485A">
        <w:rPr>
          <w:rFonts w:ascii="Times New Roman" w:eastAsia="Times New Roman" w:hAnsi="Times New Roman" w:cs="Times New Roman"/>
          <w:sz w:val="24"/>
          <w:szCs w:val="24"/>
        </w:rPr>
        <w:t xml:space="preserve"> 125мм 10 шт.</w:t>
      </w:r>
    </w:p>
    <w:p w14:paraId="17B34535" w14:textId="74C75ED1" w:rsidR="006C1CC9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>Диск лепестковый 125мм 10 шт.</w:t>
      </w:r>
    </w:p>
    <w:p w14:paraId="7D653DC2" w14:textId="64B5EA03" w:rsidR="008B1A80" w:rsidRPr="007B485A" w:rsidRDefault="006C1CC9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B485A">
        <w:rPr>
          <w:rFonts w:ascii="Times New Roman" w:eastAsia="Times New Roman" w:hAnsi="Times New Roman" w:cs="Times New Roman"/>
          <w:sz w:val="24"/>
          <w:szCs w:val="24"/>
        </w:rPr>
        <w:tab/>
        <w:t xml:space="preserve">Угломер электронный 1 </w:t>
      </w:r>
      <w:proofErr w:type="spellStart"/>
      <w:r w:rsidRPr="007B485A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</w:p>
    <w:p w14:paraId="7C50E6F0" w14:textId="33DCB3D9" w:rsidR="006C1CC9" w:rsidRPr="008B1A80" w:rsidRDefault="008B1A80" w:rsidP="006C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9011F5" w14:textId="27362164" w:rsidR="008B1A80" w:rsidRPr="008B1A80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30DE242" w14:textId="77777777" w:rsidR="008B1A80" w:rsidRPr="008B1A80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6ADDA5D" w14:textId="77777777" w:rsidR="008B1A80" w:rsidRPr="008B1A80" w:rsidRDefault="008B1A80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EFA33" w14:textId="4BA17833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DD4435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2. Материалы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, оборудование и инструменты, запрещенные на площадке</w:t>
      </w:r>
      <w:bookmarkEnd w:id="14"/>
    </w:p>
    <w:p w14:paraId="5BF15D41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5936193" w14:textId="77777777" w:rsidR="008B1A80" w:rsidRPr="007B485A" w:rsidRDefault="008B1A80" w:rsidP="008B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5A">
        <w:rPr>
          <w:rFonts w:ascii="Times New Roman" w:eastAsia="Times New Roman" w:hAnsi="Times New Roman" w:cs="Times New Roman"/>
          <w:sz w:val="24"/>
          <w:szCs w:val="24"/>
        </w:rPr>
        <w:t>Материалы, оборудование, инструменты, не включенные в инфраструктурный лист чемпионата, запрещены к использованию на площадке.</w:t>
      </w:r>
    </w:p>
    <w:p w14:paraId="121331E0" w14:textId="77777777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D2051" w14:textId="77777777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467D70E8" w14:textId="7777777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56157EF" w14:textId="7777777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2775BFF" w14:textId="7777777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0810F5E5" w14:textId="7777777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0DB604C5" w14:textId="7777777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AE1C459" w14:textId="77777777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485A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F84DD0">
        <w:rPr>
          <w:rFonts w:ascii="Times New Roman" w:hAnsi="Times New Roman" w:cs="Times New Roman"/>
          <w:sz w:val="28"/>
          <w:szCs w:val="28"/>
        </w:rPr>
        <w:t xml:space="preserve">пасности по </w:t>
      </w:r>
      <w:r w:rsidR="00A104C6">
        <w:rPr>
          <w:rFonts w:ascii="Times New Roman" w:hAnsi="Times New Roman" w:cs="Times New Roman"/>
          <w:sz w:val="28"/>
          <w:szCs w:val="28"/>
        </w:rPr>
        <w:t>компетенции «Сборка корпусов металлических судов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62364872" w14:textId="7777777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84D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D0">
        <w:rPr>
          <w:rFonts w:ascii="Times New Roman" w:hAnsi="Times New Roman" w:cs="Times New Roman"/>
          <w:sz w:val="28"/>
          <w:szCs w:val="28"/>
        </w:rPr>
        <w:t>Чертежи и спецификация.</w:t>
      </w:r>
    </w:p>
    <w:p w14:paraId="57862D81" w14:textId="77777777" w:rsidR="00F84DD0" w:rsidRDefault="00F84DD0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A3E0" w14:textId="77777777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DA5F9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D4A0" w14:textId="77777777" w:rsidR="00B818A0" w:rsidRDefault="00B818A0" w:rsidP="00970F49">
      <w:pPr>
        <w:spacing w:after="0" w:line="240" w:lineRule="auto"/>
      </w:pPr>
      <w:r>
        <w:separator/>
      </w:r>
    </w:p>
  </w:endnote>
  <w:endnote w:type="continuationSeparator" w:id="0">
    <w:p w14:paraId="3264858E" w14:textId="77777777" w:rsidR="00B818A0" w:rsidRDefault="00B818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D5AEC" w:rsidRPr="00832EBB" w14:paraId="2FC6F98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C2152F2" w14:textId="77777777" w:rsidR="007D5AEC" w:rsidRPr="00A204BB" w:rsidRDefault="007D5AE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577CB82" w14:textId="77777777" w:rsidR="007D5AEC" w:rsidRPr="00A204BB" w:rsidRDefault="00E674E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7D5AEC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F673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F600FA0" w14:textId="77777777" w:rsidR="007D5AEC" w:rsidRDefault="007D5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2886" w14:textId="77777777" w:rsidR="00B818A0" w:rsidRDefault="00B818A0" w:rsidP="00970F49">
      <w:pPr>
        <w:spacing w:after="0" w:line="240" w:lineRule="auto"/>
      </w:pPr>
      <w:r>
        <w:separator/>
      </w:r>
    </w:p>
  </w:footnote>
  <w:footnote w:type="continuationSeparator" w:id="0">
    <w:p w14:paraId="16887384" w14:textId="77777777" w:rsidR="00B818A0" w:rsidRDefault="00B818A0" w:rsidP="00970F49">
      <w:pPr>
        <w:spacing w:after="0" w:line="240" w:lineRule="auto"/>
      </w:pPr>
      <w:r>
        <w:continuationSeparator/>
      </w:r>
    </w:p>
  </w:footnote>
  <w:footnote w:id="1">
    <w:p w14:paraId="332796D3" w14:textId="77777777" w:rsidR="007D5AEC" w:rsidRDefault="007D5AE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0D1E9C2" w14:textId="77777777" w:rsidR="007D5AEC" w:rsidRDefault="007D5AE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89FA" w14:textId="77777777" w:rsidR="007D5AEC" w:rsidRPr="00B45AA4" w:rsidRDefault="007D5AE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A12"/>
    <w:rsid w:val="000051E8"/>
    <w:rsid w:val="00021CCE"/>
    <w:rsid w:val="000244DA"/>
    <w:rsid w:val="00024F7D"/>
    <w:rsid w:val="00041A78"/>
    <w:rsid w:val="0004625E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549C"/>
    <w:rsid w:val="000D74AA"/>
    <w:rsid w:val="000E5A66"/>
    <w:rsid w:val="000F0FC3"/>
    <w:rsid w:val="001024BE"/>
    <w:rsid w:val="00114D79"/>
    <w:rsid w:val="00127743"/>
    <w:rsid w:val="0013431C"/>
    <w:rsid w:val="0014399B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F2906"/>
    <w:rsid w:val="002F5724"/>
    <w:rsid w:val="003242E1"/>
    <w:rsid w:val="00333911"/>
    <w:rsid w:val="00334165"/>
    <w:rsid w:val="003531E7"/>
    <w:rsid w:val="003601A4"/>
    <w:rsid w:val="0037535C"/>
    <w:rsid w:val="003934F8"/>
    <w:rsid w:val="00393540"/>
    <w:rsid w:val="003962D2"/>
    <w:rsid w:val="00397A1B"/>
    <w:rsid w:val="003A21C8"/>
    <w:rsid w:val="003C1D7A"/>
    <w:rsid w:val="003C5F97"/>
    <w:rsid w:val="003D1E51"/>
    <w:rsid w:val="00421670"/>
    <w:rsid w:val="004254FE"/>
    <w:rsid w:val="00436FFC"/>
    <w:rsid w:val="00437D28"/>
    <w:rsid w:val="0044354A"/>
    <w:rsid w:val="00454353"/>
    <w:rsid w:val="00461AC6"/>
    <w:rsid w:val="0047429B"/>
    <w:rsid w:val="004904C5"/>
    <w:rsid w:val="00490BF0"/>
    <w:rsid w:val="004917C4"/>
    <w:rsid w:val="004A07A5"/>
    <w:rsid w:val="004B692B"/>
    <w:rsid w:val="004C3CAF"/>
    <w:rsid w:val="004C703E"/>
    <w:rsid w:val="004D096E"/>
    <w:rsid w:val="004E785E"/>
    <w:rsid w:val="004E7905"/>
    <w:rsid w:val="004F0223"/>
    <w:rsid w:val="005055FF"/>
    <w:rsid w:val="00510059"/>
    <w:rsid w:val="005311A7"/>
    <w:rsid w:val="00533DB0"/>
    <w:rsid w:val="00554CBB"/>
    <w:rsid w:val="005560AC"/>
    <w:rsid w:val="0056194A"/>
    <w:rsid w:val="00565B7C"/>
    <w:rsid w:val="005718F7"/>
    <w:rsid w:val="005A1625"/>
    <w:rsid w:val="005A280B"/>
    <w:rsid w:val="005B05D5"/>
    <w:rsid w:val="005B0DEC"/>
    <w:rsid w:val="005B66FC"/>
    <w:rsid w:val="005C6A23"/>
    <w:rsid w:val="005E30DC"/>
    <w:rsid w:val="005E4332"/>
    <w:rsid w:val="00605DD7"/>
    <w:rsid w:val="0060658F"/>
    <w:rsid w:val="00610B95"/>
    <w:rsid w:val="00612316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761F"/>
    <w:rsid w:val="006B0FEA"/>
    <w:rsid w:val="006C1CC9"/>
    <w:rsid w:val="006C351B"/>
    <w:rsid w:val="006C6D6D"/>
    <w:rsid w:val="006C7A3B"/>
    <w:rsid w:val="006C7CE4"/>
    <w:rsid w:val="006F4464"/>
    <w:rsid w:val="00714CA4"/>
    <w:rsid w:val="00723745"/>
    <w:rsid w:val="007250D9"/>
    <w:rsid w:val="007274B8"/>
    <w:rsid w:val="00727F97"/>
    <w:rsid w:val="00730AE0"/>
    <w:rsid w:val="0074372D"/>
    <w:rsid w:val="00754ED0"/>
    <w:rsid w:val="007604F9"/>
    <w:rsid w:val="00764773"/>
    <w:rsid w:val="007735DC"/>
    <w:rsid w:val="00780491"/>
    <w:rsid w:val="0078311A"/>
    <w:rsid w:val="00791D70"/>
    <w:rsid w:val="00794A67"/>
    <w:rsid w:val="007A61C5"/>
    <w:rsid w:val="007A6888"/>
    <w:rsid w:val="007B0DCC"/>
    <w:rsid w:val="007B2222"/>
    <w:rsid w:val="007B3FD5"/>
    <w:rsid w:val="007B485A"/>
    <w:rsid w:val="007D3601"/>
    <w:rsid w:val="007D5AEC"/>
    <w:rsid w:val="007D6C20"/>
    <w:rsid w:val="007D70F1"/>
    <w:rsid w:val="007E73B4"/>
    <w:rsid w:val="007F673D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1A80"/>
    <w:rsid w:val="008B560B"/>
    <w:rsid w:val="008C41F7"/>
    <w:rsid w:val="008D2D21"/>
    <w:rsid w:val="008D6DCF"/>
    <w:rsid w:val="008E5424"/>
    <w:rsid w:val="00901689"/>
    <w:rsid w:val="009018F0"/>
    <w:rsid w:val="00906E82"/>
    <w:rsid w:val="009356DA"/>
    <w:rsid w:val="00945E13"/>
    <w:rsid w:val="00946282"/>
    <w:rsid w:val="0095024E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201D"/>
    <w:rsid w:val="009F57C0"/>
    <w:rsid w:val="00A0510D"/>
    <w:rsid w:val="00A104C6"/>
    <w:rsid w:val="00A11569"/>
    <w:rsid w:val="00A13511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C25"/>
    <w:rsid w:val="00AD2200"/>
    <w:rsid w:val="00AE6AB7"/>
    <w:rsid w:val="00AE7A32"/>
    <w:rsid w:val="00B162B5"/>
    <w:rsid w:val="00B236AD"/>
    <w:rsid w:val="00B23E7C"/>
    <w:rsid w:val="00B30A26"/>
    <w:rsid w:val="00B373A9"/>
    <w:rsid w:val="00B37579"/>
    <w:rsid w:val="00B40FFB"/>
    <w:rsid w:val="00B4196F"/>
    <w:rsid w:val="00B42F83"/>
    <w:rsid w:val="00B45392"/>
    <w:rsid w:val="00B45AA4"/>
    <w:rsid w:val="00B610A2"/>
    <w:rsid w:val="00B818A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45B9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8D0"/>
    <w:rsid w:val="00D45007"/>
    <w:rsid w:val="00D522DA"/>
    <w:rsid w:val="00D617CC"/>
    <w:rsid w:val="00D74A34"/>
    <w:rsid w:val="00D87A1E"/>
    <w:rsid w:val="00DA5F98"/>
    <w:rsid w:val="00DD4435"/>
    <w:rsid w:val="00DE39D8"/>
    <w:rsid w:val="00DE5614"/>
    <w:rsid w:val="00E0407E"/>
    <w:rsid w:val="00E04FDF"/>
    <w:rsid w:val="00E15F2A"/>
    <w:rsid w:val="00E17126"/>
    <w:rsid w:val="00E279E8"/>
    <w:rsid w:val="00E579D6"/>
    <w:rsid w:val="00E674E6"/>
    <w:rsid w:val="00E75567"/>
    <w:rsid w:val="00E857D6"/>
    <w:rsid w:val="00E941A7"/>
    <w:rsid w:val="00EA0163"/>
    <w:rsid w:val="00EA0C3A"/>
    <w:rsid w:val="00EA30C6"/>
    <w:rsid w:val="00EB2779"/>
    <w:rsid w:val="00EB562F"/>
    <w:rsid w:val="00ED18F9"/>
    <w:rsid w:val="00ED53C9"/>
    <w:rsid w:val="00EE7DA3"/>
    <w:rsid w:val="00EF0C6C"/>
    <w:rsid w:val="00F1662D"/>
    <w:rsid w:val="00F3099C"/>
    <w:rsid w:val="00F35F4F"/>
    <w:rsid w:val="00F50AC5"/>
    <w:rsid w:val="00F6025D"/>
    <w:rsid w:val="00F672B2"/>
    <w:rsid w:val="00F8340A"/>
    <w:rsid w:val="00F83D10"/>
    <w:rsid w:val="00F84DD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63998"/>
  <w15:docId w15:val="{EA61D3BD-6C58-444D-B4EB-08D863B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C1CC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E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EAB1-1248-4F95-87C4-C41766B7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Aleksandr Moiseev</cp:lastModifiedBy>
  <cp:revision>10</cp:revision>
  <dcterms:created xsi:type="dcterms:W3CDTF">2024-01-18T06:57:00Z</dcterms:created>
  <dcterms:modified xsi:type="dcterms:W3CDTF">2025-04-07T08:43:00Z</dcterms:modified>
</cp:coreProperties>
</file>