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A94E7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A94E77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A94E77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A94E77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A94E7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A94E7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A94E7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79F2A82" w:rsidR="00832EBB" w:rsidRPr="00A204BB" w:rsidRDefault="000F0FC3" w:rsidP="00A94E7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A94E77">
            <w:rPr>
              <w:rFonts w:ascii="Times New Roman" w:eastAsia="Arial Unicode MS" w:hAnsi="Times New Roman" w:cs="Times New Roman"/>
              <w:sz w:val="56"/>
              <w:szCs w:val="56"/>
            </w:rPr>
            <w:t>ИНФОРМАЦИОННАЯ БЕЗОПАСНОСТЬ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D975935" w14:textId="07C379DD" w:rsidR="00334165" w:rsidRPr="00A204BB" w:rsidRDefault="0034631E" w:rsidP="00A94E7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A94E77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18CBD5" w14:textId="5F790953" w:rsidR="00557CC0" w:rsidRDefault="009B18A2" w:rsidP="00A94E77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</w:t>
      </w:r>
      <w:r w:rsidR="00A94E77">
        <w:rPr>
          <w:rFonts w:ascii="Times New Roman" w:hAnsi="Times New Roman" w:cs="Times New Roman"/>
          <w:lang w:bidi="en-US"/>
        </w:rPr>
        <w:t xml:space="preserve"> Москва, </w:t>
      </w:r>
      <w:r w:rsidR="00666BDD">
        <w:rPr>
          <w:rFonts w:ascii="Times New Roman" w:hAnsi="Times New Roman" w:cs="Times New Roman"/>
          <w:lang w:bidi="en-US"/>
        </w:rPr>
        <w:t>2023</w:t>
      </w:r>
    </w:p>
    <w:p w14:paraId="4B2D6C3B" w14:textId="77777777" w:rsidR="00557CC0" w:rsidRDefault="00557CC0" w:rsidP="00A94E77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A94E77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A94E77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A94E7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FB6C5AF" w14:textId="54742E6F" w:rsidR="00A94E77" w:rsidRPr="00C536BA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36676869" w:history="1">
        <w:r w:rsidR="00A94E77" w:rsidRPr="00C536BA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tab/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instrText xml:space="preserve"> PAGEREF _Toc136676869 \h </w:instrText>
        </w:r>
        <w:r w:rsidR="00A94E77" w:rsidRPr="00C536BA">
          <w:rPr>
            <w:rFonts w:ascii="Times New Roman" w:hAnsi="Times New Roman"/>
            <w:noProof/>
            <w:webHidden/>
            <w:sz w:val="28"/>
          </w:rPr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536BA">
          <w:rPr>
            <w:rFonts w:ascii="Times New Roman" w:hAnsi="Times New Roman"/>
            <w:noProof/>
            <w:webHidden/>
            <w:sz w:val="28"/>
          </w:rPr>
          <w:t>2</w:t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1CACC20" w14:textId="3F02C88A" w:rsidR="00A94E77" w:rsidRPr="00C536BA" w:rsidRDefault="0034631E">
      <w:pPr>
        <w:pStyle w:val="25"/>
        <w:rPr>
          <w:rFonts w:eastAsiaTheme="minorEastAsia"/>
          <w:noProof/>
          <w:sz w:val="28"/>
          <w:szCs w:val="28"/>
        </w:rPr>
      </w:pPr>
      <w:hyperlink w:anchor="_Toc136676870" w:history="1">
        <w:r w:rsidR="00A94E77" w:rsidRPr="00C536BA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_Toc136676870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C536BA">
          <w:rPr>
            <w:noProof/>
            <w:webHidden/>
            <w:sz w:val="28"/>
            <w:szCs w:val="28"/>
          </w:rPr>
          <w:t>2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6C05C3B6" w14:textId="2DC8A612" w:rsidR="00A94E77" w:rsidRPr="00C536BA" w:rsidRDefault="0034631E">
      <w:pPr>
        <w:pStyle w:val="25"/>
        <w:rPr>
          <w:rFonts w:eastAsiaTheme="minorEastAsia"/>
          <w:noProof/>
          <w:sz w:val="28"/>
          <w:szCs w:val="28"/>
        </w:rPr>
      </w:pPr>
      <w:hyperlink w:anchor="_Toc136676871" w:history="1">
        <w:r w:rsidR="00A94E77" w:rsidRPr="00C536BA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«ИНФОРМАЦИОННАЯ БЕЗОПАСНОСТЬ»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_Toc136676871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C536BA">
          <w:rPr>
            <w:noProof/>
            <w:webHidden/>
            <w:sz w:val="28"/>
            <w:szCs w:val="28"/>
          </w:rPr>
          <w:t>2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34320006" w14:textId="2DFAA8E7" w:rsidR="00A94E77" w:rsidRPr="00C536BA" w:rsidRDefault="0034631E">
      <w:pPr>
        <w:pStyle w:val="25"/>
        <w:rPr>
          <w:rFonts w:eastAsiaTheme="minorEastAsia"/>
          <w:noProof/>
          <w:sz w:val="28"/>
          <w:szCs w:val="28"/>
        </w:rPr>
      </w:pPr>
      <w:hyperlink w:anchor="_Toc136676872" w:history="1">
        <w:r w:rsidR="00A94E77" w:rsidRPr="00C536BA">
          <w:rPr>
            <w:rStyle w:val="ae"/>
            <w:noProof/>
            <w:sz w:val="28"/>
            <w:szCs w:val="28"/>
          </w:rPr>
          <w:t>1.3. ТРЕБОВАНИЯ К СХЕМЕ ОЦЕНКИ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_Toc136676872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C536BA">
          <w:rPr>
            <w:noProof/>
            <w:webHidden/>
            <w:sz w:val="28"/>
            <w:szCs w:val="28"/>
          </w:rPr>
          <w:t>5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7D37B706" w14:textId="04F0FDC9" w:rsidR="00A94E77" w:rsidRPr="00C536BA" w:rsidRDefault="0034631E">
      <w:pPr>
        <w:pStyle w:val="25"/>
        <w:rPr>
          <w:rFonts w:eastAsiaTheme="minorEastAsia"/>
          <w:noProof/>
          <w:sz w:val="28"/>
          <w:szCs w:val="28"/>
        </w:rPr>
      </w:pPr>
      <w:hyperlink w:anchor="_Toc136676873" w:history="1">
        <w:r w:rsidR="00A94E77" w:rsidRPr="00C536BA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_Toc136676873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C536BA">
          <w:rPr>
            <w:noProof/>
            <w:webHidden/>
            <w:sz w:val="28"/>
            <w:szCs w:val="28"/>
          </w:rPr>
          <w:t>6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5D756102" w14:textId="62A076E7" w:rsidR="00A94E77" w:rsidRPr="00C536BA" w:rsidRDefault="0034631E">
      <w:pPr>
        <w:pStyle w:val="25"/>
        <w:rPr>
          <w:rFonts w:eastAsiaTheme="minorEastAsia"/>
          <w:noProof/>
          <w:sz w:val="28"/>
          <w:szCs w:val="28"/>
        </w:rPr>
      </w:pPr>
      <w:hyperlink w:anchor="_Toc136676874" w:history="1">
        <w:r w:rsidR="00A94E77" w:rsidRPr="00C536BA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A94E77" w:rsidRPr="00C536BA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_Toc136676874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C536BA">
          <w:rPr>
            <w:noProof/>
            <w:webHidden/>
            <w:sz w:val="28"/>
            <w:szCs w:val="28"/>
          </w:rPr>
          <w:t>7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7B175F11" w14:textId="7C2EF6FA" w:rsidR="00A94E77" w:rsidRPr="00C536BA" w:rsidRDefault="0034631E">
      <w:pPr>
        <w:pStyle w:val="25"/>
        <w:rPr>
          <w:rFonts w:eastAsiaTheme="minorEastAsia"/>
          <w:noProof/>
          <w:sz w:val="28"/>
          <w:szCs w:val="28"/>
        </w:rPr>
      </w:pPr>
      <w:hyperlink w:anchor="_Toc136676875" w:history="1">
        <w:r w:rsidR="00A94E77" w:rsidRPr="00C536BA">
          <w:rPr>
            <w:rStyle w:val="ae"/>
            <w:noProof/>
            <w:sz w:val="28"/>
            <w:szCs w:val="28"/>
          </w:rPr>
          <w:t xml:space="preserve">1.5.2.1. Структура модулей конкурсного задания </w:t>
        </w:r>
        <w:r w:rsidR="00A94E77" w:rsidRPr="00C536BA">
          <w:rPr>
            <w:rStyle w:val="ae"/>
            <w:bCs/>
            <w:noProof/>
            <w:sz w:val="28"/>
            <w:szCs w:val="28"/>
          </w:rPr>
          <w:t>(инвариант)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_Toc136676875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C536BA">
          <w:rPr>
            <w:noProof/>
            <w:webHidden/>
            <w:sz w:val="28"/>
            <w:szCs w:val="28"/>
          </w:rPr>
          <w:t>7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4AA70B1B" w14:textId="2E7650EE" w:rsidR="00A94E77" w:rsidRPr="00C536BA" w:rsidRDefault="0034631E">
      <w:pPr>
        <w:pStyle w:val="25"/>
        <w:rPr>
          <w:rFonts w:eastAsiaTheme="minorEastAsia"/>
          <w:noProof/>
          <w:sz w:val="28"/>
          <w:szCs w:val="28"/>
        </w:rPr>
      </w:pPr>
      <w:hyperlink w:anchor="_Toc136676876" w:history="1">
        <w:r w:rsidR="00A94E77" w:rsidRPr="00C536BA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_Toc136676876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C536BA">
          <w:rPr>
            <w:noProof/>
            <w:webHidden/>
            <w:sz w:val="28"/>
            <w:szCs w:val="28"/>
          </w:rPr>
          <w:t>10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0561F56F" w14:textId="2ECFF2FD" w:rsidR="00A94E77" w:rsidRPr="00C536BA" w:rsidRDefault="0034631E">
      <w:pPr>
        <w:pStyle w:val="25"/>
        <w:rPr>
          <w:rFonts w:eastAsiaTheme="minorEastAsia"/>
          <w:noProof/>
          <w:sz w:val="28"/>
          <w:szCs w:val="28"/>
        </w:rPr>
      </w:pPr>
      <w:hyperlink w:anchor="_Toc136676877" w:history="1">
        <w:r w:rsidR="00A94E77" w:rsidRPr="00C536BA">
          <w:rPr>
            <w:rStyle w:val="ae"/>
            <w:noProof/>
            <w:sz w:val="28"/>
            <w:szCs w:val="28"/>
          </w:rPr>
          <w:t xml:space="preserve">2.1. </w:t>
        </w:r>
        <w:r w:rsidR="00A94E77" w:rsidRPr="00C536BA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A94E77" w:rsidRPr="00C536BA">
          <w:rPr>
            <w:noProof/>
            <w:webHidden/>
            <w:sz w:val="28"/>
            <w:szCs w:val="28"/>
          </w:rPr>
          <w:tab/>
        </w:r>
        <w:r w:rsidR="00A94E77" w:rsidRPr="00C536BA">
          <w:rPr>
            <w:noProof/>
            <w:webHidden/>
            <w:sz w:val="28"/>
            <w:szCs w:val="28"/>
          </w:rPr>
          <w:fldChar w:fldCharType="begin"/>
        </w:r>
        <w:r w:rsidR="00A94E77" w:rsidRPr="00C536BA">
          <w:rPr>
            <w:noProof/>
            <w:webHidden/>
            <w:sz w:val="28"/>
            <w:szCs w:val="28"/>
          </w:rPr>
          <w:instrText xml:space="preserve"> PAGEREF _Toc136676877 \h </w:instrText>
        </w:r>
        <w:r w:rsidR="00A94E77" w:rsidRPr="00C536BA">
          <w:rPr>
            <w:noProof/>
            <w:webHidden/>
            <w:sz w:val="28"/>
            <w:szCs w:val="28"/>
          </w:rPr>
        </w:r>
        <w:r w:rsidR="00A94E77" w:rsidRPr="00C536BA">
          <w:rPr>
            <w:noProof/>
            <w:webHidden/>
            <w:sz w:val="28"/>
            <w:szCs w:val="28"/>
          </w:rPr>
          <w:fldChar w:fldCharType="separate"/>
        </w:r>
        <w:r w:rsidR="00C536BA">
          <w:rPr>
            <w:noProof/>
            <w:webHidden/>
            <w:sz w:val="28"/>
            <w:szCs w:val="28"/>
          </w:rPr>
          <w:t>11</w:t>
        </w:r>
        <w:r w:rsidR="00A94E77" w:rsidRPr="00C536BA">
          <w:rPr>
            <w:noProof/>
            <w:webHidden/>
            <w:sz w:val="28"/>
            <w:szCs w:val="28"/>
          </w:rPr>
          <w:fldChar w:fldCharType="end"/>
        </w:r>
      </w:hyperlink>
    </w:p>
    <w:p w14:paraId="1A116903" w14:textId="5861E89B" w:rsidR="00A94E77" w:rsidRPr="00C536BA" w:rsidRDefault="0034631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36676878" w:history="1">
        <w:r w:rsidR="00A94E77" w:rsidRPr="00C536BA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tab/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instrText xml:space="preserve"> PAGEREF _Toc136676878 \h </w:instrText>
        </w:r>
        <w:r w:rsidR="00A94E77" w:rsidRPr="00C536BA">
          <w:rPr>
            <w:rFonts w:ascii="Times New Roman" w:hAnsi="Times New Roman"/>
            <w:noProof/>
            <w:webHidden/>
            <w:sz w:val="28"/>
          </w:rPr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536BA">
          <w:rPr>
            <w:rFonts w:ascii="Times New Roman" w:hAnsi="Times New Roman"/>
            <w:noProof/>
            <w:webHidden/>
            <w:sz w:val="28"/>
          </w:rPr>
          <w:t>11</w:t>
        </w:r>
        <w:r w:rsidR="00A94E77" w:rsidRPr="00C536B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8F648B8" w:rsidR="00AA2B8A" w:rsidRPr="00A204BB" w:rsidRDefault="0029547E" w:rsidP="00A94E7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A94E7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49EF7CFC" w:rsidR="00E04FDF" w:rsidRDefault="00E04FDF" w:rsidP="00A94E7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266C26B" w14:textId="2F9878DE" w:rsidR="00DE39D8" w:rsidRPr="00A204BB" w:rsidRDefault="00D37DEA" w:rsidP="00A94E77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36676869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A94E77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36676870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59D3E838" w14:textId="77777777" w:rsidR="00A94E77" w:rsidRPr="00A204BB" w:rsidRDefault="00A94E77" w:rsidP="00A9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78885652"/>
      <w:r>
        <w:rPr>
          <w:rFonts w:ascii="Times New Roman" w:hAnsi="Times New Roman" w:cs="Times New Roman"/>
          <w:sz w:val="28"/>
          <w:szCs w:val="28"/>
        </w:rPr>
        <w:t>Требования компетенции (ТК) «Информационная безопасность»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318081FD" w14:textId="77777777" w:rsidR="00A94E77" w:rsidRDefault="00A94E77" w:rsidP="00A9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791FD" w14:textId="77777777" w:rsidR="00A94E77" w:rsidRPr="00A204BB" w:rsidRDefault="00A94E77" w:rsidP="00A9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7F7870E5" w14:textId="77777777" w:rsidR="00A94E77" w:rsidRPr="00A204BB" w:rsidRDefault="00A94E77" w:rsidP="00A9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A90072A" w14:textId="77777777" w:rsidR="00A94E77" w:rsidRPr="00A204BB" w:rsidRDefault="00A94E77" w:rsidP="00A9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401EC0E" w:rsidR="000244DA" w:rsidRPr="00D17132" w:rsidRDefault="00270E01" w:rsidP="00A94E77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136676871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2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94E77">
        <w:rPr>
          <w:rFonts w:ascii="Times New Roman" w:hAnsi="Times New Roman"/>
          <w:color w:val="000000"/>
          <w:sz w:val="24"/>
          <w:lang w:val="ru-RU"/>
        </w:rPr>
        <w:t>ИНФОРМАЦИОННАЯ БЕЗОПАСНОСТЬ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33FA92DF" w14:textId="5262F7AF" w:rsidR="00640E46" w:rsidRPr="00A94E77" w:rsidRDefault="00C56A9B" w:rsidP="00A94E77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94E77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A94E77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640E46" w:rsidRDefault="00640E46" w:rsidP="00A94E77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A94E77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94E77" w:rsidRPr="00913BBC" w14:paraId="21FB99A9" w14:textId="77777777" w:rsidTr="00161279">
        <w:tc>
          <w:tcPr>
            <w:tcW w:w="330" w:type="pct"/>
            <w:shd w:val="clear" w:color="auto" w:fill="92D050"/>
            <w:vAlign w:val="center"/>
          </w:tcPr>
          <w:p w14:paraId="49D0B004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5FD55A7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highlight w:val="green"/>
              </w:rPr>
            </w:pPr>
            <w:r w:rsidRPr="00913BB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2CBDD75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Важность в %</w:t>
            </w:r>
          </w:p>
        </w:tc>
      </w:tr>
      <w:tr w:rsidR="00A94E77" w:rsidRPr="00913BBC" w14:paraId="5B750E75" w14:textId="77777777" w:rsidTr="0016127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C42BF29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7AC6EC6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ОРГАНИЗАЦИЯ ПРОФЕССИОНАЛЬНОЙ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226477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94E77" w:rsidRPr="00913BBC" w14:paraId="10EFCBF7" w14:textId="77777777" w:rsidTr="001612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B887A1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37FF43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4D4863AA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методы планирования своей работы;</w:t>
            </w:r>
          </w:p>
          <w:p w14:paraId="6D243EAE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методы декомпозиции и </w:t>
            </w:r>
            <w:proofErr w:type="spellStart"/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приоритизации</w:t>
            </w:r>
            <w:proofErr w:type="spellEnd"/>
            <w:r w:rsidRPr="00913BBC">
              <w:rPr>
                <w:rFonts w:ascii="Times New Roman" w:hAnsi="Times New Roman" w:cs="Times New Roman"/>
                <w:sz w:val="20"/>
                <w:szCs w:val="20"/>
              </w:rPr>
              <w:t xml:space="preserve"> поставленных задач;</w:t>
            </w:r>
          </w:p>
          <w:p w14:paraId="228595D2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важность проверки выполненной работы в каждом ее аспекте;</w:t>
            </w:r>
          </w:p>
          <w:p w14:paraId="79D14F76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методы эффективной работы в составе команды;</w:t>
            </w:r>
          </w:p>
          <w:p w14:paraId="6DE24837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методы демонстрации и презентации материала;</w:t>
            </w:r>
          </w:p>
          <w:p w14:paraId="1CF96AFB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современные тенденции в области информационных технологий и в подходах к построению ИТ-инфраструктуры;</w:t>
            </w:r>
          </w:p>
          <w:p w14:paraId="2789E28C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отраслевые стандарты и системы профессиональных сертификаций;</w:t>
            </w:r>
          </w:p>
          <w:p w14:paraId="6FC4D3A6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стандарты профессиональной коммуникации при работе в системах поддержки пользователей;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F86962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77" w:rsidRPr="00913BBC" w14:paraId="32BDC3AE" w14:textId="77777777" w:rsidTr="001612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7083D8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7EC964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0000C598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разрабатывать документацию к существующей или проектируемой информационной структуре предприятия;</w:t>
            </w:r>
          </w:p>
          <w:p w14:paraId="38A8F78A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формировать корректные, отвечающие требованиям и ограничениям, рекомендации на основе запросов и потребностей заказчика;</w:t>
            </w:r>
          </w:p>
          <w:p w14:paraId="452D4020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выстраивать эффективное письменное и устное общение на русском и английском языке;</w:t>
            </w:r>
          </w:p>
          <w:p w14:paraId="7401EED4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применять аналитические навыки для диагностики и устранения неисправностей в работе информационных систем и сетей; </w:t>
            </w:r>
          </w:p>
          <w:p w14:paraId="093427BE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точно описывать инцидент и документировать решение проблемы;</w:t>
            </w:r>
          </w:p>
          <w:p w14:paraId="30E546B7" w14:textId="77777777" w:rsidR="00A94E77" w:rsidRPr="00913BBC" w:rsidRDefault="00A94E77" w:rsidP="00A9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осуществлять поиск информации в открытых источниках и работать с технической документацией;</w:t>
            </w:r>
          </w:p>
          <w:p w14:paraId="66D6B824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формировать базу знаний;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6318DD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77" w:rsidRPr="00913BBC" w14:paraId="35098C22" w14:textId="77777777" w:rsidTr="0016127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508CB8B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B77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ЭКСПЛУАТАЦИЯ, СОПРОВОЖДЕНИЕ И НАДЗОР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A87127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94E77" w:rsidRPr="00913BBC" w14:paraId="428ED5A2" w14:textId="77777777" w:rsidTr="001612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51B936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3B23AF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43D4CCF6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Системы управления учетными данными пользователей</w:t>
            </w:r>
          </w:p>
          <w:p w14:paraId="55C7D1C8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Принципы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, используемые для управления рисками при использовании, обработке, хранении и передаче данных</w:t>
            </w:r>
          </w:p>
          <w:p w14:paraId="6DC7CC61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Принципы управления жизненным циклом информационных систем</w:t>
            </w:r>
          </w:p>
          <w:p w14:paraId="24F8A691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Цели и задачи организации в области информационных технологий</w:t>
            </w:r>
          </w:p>
          <w:p w14:paraId="721ACFEE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Системы хранения ключей для поддержки шифрования данных</w:t>
            </w:r>
          </w:p>
          <w:p w14:paraId="09A7D3B4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Средства управления, связанные с использованием, обработкой, хранением и передачей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7145C9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77" w:rsidRPr="00913BBC" w14:paraId="36DFEEB3" w14:textId="77777777" w:rsidTr="001612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A688BB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D868D2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5839EF91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Анализировать и разрабатывать процедуры интеграции, тестирования, эксплуатации, сопровождения механизмов безопасности информационных систем.</w:t>
            </w:r>
          </w:p>
          <w:p w14:paraId="41A87F1E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Управлять безопасностью телекоммуникационных ресурсов организации</w:t>
            </w:r>
          </w:p>
          <w:p w14:paraId="78217BE2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Работать с системами управления крипто-ключами</w:t>
            </w:r>
          </w:p>
          <w:p w14:paraId="379A9313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Проводить оценку дизайна решений по обеспечению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09110D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77" w:rsidRPr="00913BBC" w14:paraId="437E00C2" w14:textId="77777777" w:rsidTr="0016127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7D50DBD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7CD4CA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ЗАЩИТА ИНФОРМАЦИОННОЙ ИНФРАСТРУКТУРЫ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FC2E02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94E77" w:rsidRPr="00913BBC" w14:paraId="64CF95C3" w14:textId="77777777" w:rsidTr="001612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EFDA08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8C50A7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28FEF827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Реализации файловых систем</w:t>
            </w:r>
          </w:p>
          <w:p w14:paraId="5882AFB5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Системные файлы (например, файлы журнала, файлы реестра, файлы конфигурации) которые содержат соответствующую информацию и их местоположение</w:t>
            </w:r>
          </w:p>
          <w:p w14:paraId="289B8DCB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Концепции архитектуры сетевой безопасности, включая топологию, протоколы, компоненты и принципы их взаимодействия</w:t>
            </w:r>
          </w:p>
          <w:p w14:paraId="729B72D2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Отраслевые стандартны в области анализа, методов и инструментов для выявления уязвимостей</w:t>
            </w:r>
          </w:p>
          <w:p w14:paraId="5090C678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Категории инцидентов, методы реагирования и обработки</w:t>
            </w:r>
          </w:p>
          <w:p w14:paraId="5D1ABDE3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Разработка контрмер для выявления угроз безопасности.</w:t>
            </w:r>
          </w:p>
          <w:p w14:paraId="65F39490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Подходы к реализации аутентификации, авторизации и учета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97561E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77" w:rsidRPr="00913BBC" w14:paraId="105DFE53" w14:textId="77777777" w:rsidTr="001612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B14404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8B0FB0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6AE5C2A7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Использовать данные, собранные с помощью различных инструментов </w:t>
            </w:r>
            <w:proofErr w:type="spellStart"/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киберзащиты</w:t>
            </w:r>
            <w:proofErr w:type="spellEnd"/>
            <w:r w:rsidRPr="00913BBC">
              <w:rPr>
                <w:rFonts w:ascii="Times New Roman" w:hAnsi="Times New Roman" w:cs="Times New Roman"/>
                <w:sz w:val="20"/>
                <w:szCs w:val="20"/>
              </w:rPr>
              <w:t xml:space="preserve"> (например, оповещения IDS, межсетевые экраны, журналы сетевого трафика), для анализа событий, происходящих в информационной инфраструктуре, с целью уменьшения количества потенциальных инцидентов.</w:t>
            </w:r>
          </w:p>
          <w:p w14:paraId="0B697A35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Тестировать, внедрять, развертывать, поддерживать и управлять аппаратным и программным обеспечением в рамках информационной инфраструктуры организации</w:t>
            </w:r>
          </w:p>
          <w:p w14:paraId="6881E857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Расследовать, анализировать и реагировать на инциденты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 xml:space="preserve"> в сетевой среде</w:t>
            </w:r>
          </w:p>
          <w:p w14:paraId="5ABB4E6F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913BBC">
              <w:rPr>
                <w:rFonts w:ascii="Times New Roman" w:hAnsi="Times New Roman" w:cs="Times New Roman"/>
                <w:sz w:val="20"/>
                <w:szCs w:val="20"/>
              </w:rPr>
              <w:tab/>
              <w:t>Выполнять оценку конфигурации элементов информационной инфраструктуры и определять, насколько данная конфигурация отклоняется от приемлемой, определенной локальной политикой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BCE9B0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77" w:rsidRPr="00913BBC" w14:paraId="0C7B7A21" w14:textId="77777777" w:rsidTr="0016127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0F27386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0468616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АНАЛИЗ ЗАЩИЩЕННОСТИ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92F2DA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94E77" w:rsidRPr="00913BBC" w14:paraId="32484473" w14:textId="77777777" w:rsidTr="0016127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808EACC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2497C3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Специалист должен знать и понимать</w:t>
            </w:r>
          </w:p>
          <w:p w14:paraId="5BDECCDC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Кто является объектами и субъектами угроз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</w:p>
          <w:p w14:paraId="0D65F688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Методы и приемы, используемые для обнаружения различных видов уязвимостей</w:t>
            </w:r>
          </w:p>
          <w:p w14:paraId="1BAF7462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Методы и средства сбора информации и ее хранения</w:t>
            </w:r>
          </w:p>
          <w:p w14:paraId="35109730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Источники распространения информации об уязвимостях </w:t>
            </w:r>
          </w:p>
          <w:p w14:paraId="5884E022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Стратегия использования инструментов для поиска уязвимостей </w:t>
            </w:r>
          </w:p>
          <w:p w14:paraId="7C974E11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Техники получения несанкционированного доступа</w:t>
            </w:r>
          </w:p>
          <w:p w14:paraId="539ADA96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Методы прогнозирования и / или эмуляции угроз</w:t>
            </w:r>
          </w:p>
          <w:p w14:paraId="76C0826F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Примеры использования системных артефактов в компьютерной криминалистике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58C346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E77" w:rsidRPr="00913BBC" w14:paraId="1AB15117" w14:textId="77777777" w:rsidTr="0016127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976B876" w14:textId="77777777" w:rsidR="00A94E77" w:rsidRPr="00913BBC" w:rsidRDefault="00A94E77" w:rsidP="00A94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8F41AF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Специалист должен уметь</w:t>
            </w:r>
          </w:p>
          <w:p w14:paraId="64D7C6F7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Разрабатывать индикаторы угроз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 xml:space="preserve"> для поддержания осведомленности о состоянии информационной инфраструктуры </w:t>
            </w:r>
          </w:p>
          <w:p w14:paraId="44F8DD41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Собирать, обрабатывать, анализировать и распространять оценки угроз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</w:p>
          <w:p w14:paraId="1A4CD331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Выявлять уязвимости в информационных системах и/или элементах информационной инфраструктуры </w:t>
            </w:r>
          </w:p>
          <w:p w14:paraId="104ECAB5" w14:textId="77777777" w:rsidR="00A94E77" w:rsidRPr="0024285D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>Использовать авторизованные ресурсы и аналитические методы для проникновения в целевые сети и/или системы</w:t>
            </w:r>
          </w:p>
          <w:p w14:paraId="39C3354E" w14:textId="77777777" w:rsidR="00A94E77" w:rsidRPr="00913BBC" w:rsidRDefault="00A94E77" w:rsidP="00A94E77">
            <w:pPr>
              <w:spacing w:after="0" w:line="360" w:lineRule="auto"/>
              <w:ind w:left="38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24285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Анализировать данные из одного или нескольких источников для планирования мероприятий по реагированию на инциденты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E0C9FB" w14:textId="77777777" w:rsidR="00A94E77" w:rsidRPr="00913BBC" w:rsidRDefault="00A94E77" w:rsidP="00A94E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2260F9" w14:textId="39C4CEDD" w:rsidR="00A204BB" w:rsidRDefault="00A204BB" w:rsidP="00A94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17132" w:rsidRDefault="00F8340A" w:rsidP="00A94E77">
      <w:pPr>
        <w:pStyle w:val="2"/>
        <w:spacing w:after="0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36676872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A94E77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A94E77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A94E77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A94E77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A94E77" w:rsidRPr="00613219" w14:paraId="45D8BBA1" w14:textId="77777777" w:rsidTr="00161279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104973B8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6CE91BB4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94E77" w:rsidRPr="00613219" w14:paraId="08D13AD8" w14:textId="77777777" w:rsidTr="00161279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6A2F76A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54FA74E0" w14:textId="77777777" w:rsidR="00A94E77" w:rsidRPr="00613219" w:rsidRDefault="00A94E77" w:rsidP="00A94E77">
            <w:pPr>
              <w:spacing w:line="36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00B050"/>
            <w:vAlign w:val="center"/>
          </w:tcPr>
          <w:p w14:paraId="27628746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09EC505D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49D3C1A6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6" w:type="pct"/>
            <w:shd w:val="clear" w:color="auto" w:fill="00B050"/>
            <w:vAlign w:val="center"/>
          </w:tcPr>
          <w:p w14:paraId="5BB8CA2E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5B312E7C" w14:textId="77777777" w:rsidR="00A94E77" w:rsidRPr="00613219" w:rsidRDefault="00A94E77" w:rsidP="00A94E77">
            <w:pPr>
              <w:spacing w:line="36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94E77" w:rsidRPr="00613219" w14:paraId="22F081F4" w14:textId="77777777" w:rsidTr="0016127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DCB243E" w14:textId="77777777" w:rsidR="00A94E77" w:rsidRPr="00613219" w:rsidRDefault="00A94E77" w:rsidP="00A94E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53A4C11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5" w:type="pct"/>
          </w:tcPr>
          <w:p w14:paraId="38851772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10</w:t>
            </w:r>
          </w:p>
        </w:tc>
        <w:tc>
          <w:tcPr>
            <w:tcW w:w="675" w:type="pct"/>
          </w:tcPr>
          <w:p w14:paraId="64E14023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6</w:t>
            </w:r>
          </w:p>
        </w:tc>
        <w:tc>
          <w:tcPr>
            <w:tcW w:w="675" w:type="pct"/>
          </w:tcPr>
          <w:p w14:paraId="306662BF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</w:t>
            </w:r>
          </w:p>
        </w:tc>
        <w:tc>
          <w:tcPr>
            <w:tcW w:w="676" w:type="pct"/>
          </w:tcPr>
          <w:p w14:paraId="62E6FFAB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52EB2B7F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20</w:t>
            </w:r>
          </w:p>
        </w:tc>
      </w:tr>
      <w:tr w:rsidR="00A94E77" w:rsidRPr="00613219" w14:paraId="3E8D19D7" w14:textId="77777777" w:rsidTr="0016127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FB626CF" w14:textId="77777777" w:rsidR="00A94E77" w:rsidRPr="00613219" w:rsidRDefault="00A94E77" w:rsidP="00A94E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9FBC3BF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5" w:type="pct"/>
          </w:tcPr>
          <w:p w14:paraId="1A912345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8</w:t>
            </w:r>
          </w:p>
        </w:tc>
        <w:tc>
          <w:tcPr>
            <w:tcW w:w="675" w:type="pct"/>
          </w:tcPr>
          <w:p w14:paraId="4D02E056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4</w:t>
            </w:r>
          </w:p>
        </w:tc>
        <w:tc>
          <w:tcPr>
            <w:tcW w:w="675" w:type="pct"/>
          </w:tcPr>
          <w:p w14:paraId="02652E05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</w:t>
            </w:r>
          </w:p>
        </w:tc>
        <w:tc>
          <w:tcPr>
            <w:tcW w:w="676" w:type="pct"/>
          </w:tcPr>
          <w:p w14:paraId="7EA32312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6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53855EA7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20</w:t>
            </w:r>
          </w:p>
        </w:tc>
      </w:tr>
      <w:tr w:rsidR="00A94E77" w:rsidRPr="00613219" w14:paraId="510B2405" w14:textId="77777777" w:rsidTr="0016127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6251988" w14:textId="77777777" w:rsidR="00A94E77" w:rsidRPr="00613219" w:rsidRDefault="00A94E77" w:rsidP="00A94E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515ABD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5" w:type="pct"/>
          </w:tcPr>
          <w:p w14:paraId="0412C075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16</w:t>
            </w:r>
          </w:p>
        </w:tc>
        <w:tc>
          <w:tcPr>
            <w:tcW w:w="675" w:type="pct"/>
          </w:tcPr>
          <w:p w14:paraId="5E6DFA08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0</w:t>
            </w:r>
          </w:p>
        </w:tc>
        <w:tc>
          <w:tcPr>
            <w:tcW w:w="675" w:type="pct"/>
          </w:tcPr>
          <w:p w14:paraId="3C1DE138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6</w:t>
            </w:r>
          </w:p>
        </w:tc>
        <w:tc>
          <w:tcPr>
            <w:tcW w:w="676" w:type="pct"/>
          </w:tcPr>
          <w:p w14:paraId="6155F2CA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8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39501A3B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30</w:t>
            </w:r>
          </w:p>
        </w:tc>
      </w:tr>
      <w:tr w:rsidR="00A94E77" w:rsidRPr="00613219" w14:paraId="7CC5FD6C" w14:textId="77777777" w:rsidTr="00161279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371C4CF" w14:textId="77777777" w:rsidR="00A94E77" w:rsidRPr="00613219" w:rsidRDefault="00A94E77" w:rsidP="00A94E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E980FBE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5" w:type="pct"/>
          </w:tcPr>
          <w:p w14:paraId="1AA0BDFF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0</w:t>
            </w:r>
          </w:p>
        </w:tc>
        <w:tc>
          <w:tcPr>
            <w:tcW w:w="675" w:type="pct"/>
          </w:tcPr>
          <w:p w14:paraId="23A5AE8A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14</w:t>
            </w:r>
          </w:p>
        </w:tc>
        <w:tc>
          <w:tcPr>
            <w:tcW w:w="675" w:type="pct"/>
          </w:tcPr>
          <w:p w14:paraId="2625A1E0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10</w:t>
            </w:r>
          </w:p>
        </w:tc>
        <w:tc>
          <w:tcPr>
            <w:tcW w:w="676" w:type="pct"/>
          </w:tcPr>
          <w:p w14:paraId="0CBFDBA1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6</w:t>
            </w:r>
          </w:p>
        </w:tc>
        <w:tc>
          <w:tcPr>
            <w:tcW w:w="1065" w:type="pct"/>
            <w:shd w:val="clear" w:color="auto" w:fill="F2F2F2" w:themeFill="background1" w:themeFillShade="F2"/>
          </w:tcPr>
          <w:p w14:paraId="37596D61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30</w:t>
            </w:r>
          </w:p>
        </w:tc>
      </w:tr>
      <w:tr w:rsidR="00A94E77" w:rsidRPr="00613219" w14:paraId="34122FAA" w14:textId="77777777" w:rsidTr="00161279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52981A9C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3041AE9C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34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62D46BA4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24</w:t>
            </w:r>
          </w:p>
        </w:tc>
        <w:tc>
          <w:tcPr>
            <w:tcW w:w="675" w:type="pct"/>
            <w:shd w:val="clear" w:color="auto" w:fill="F2F2F2" w:themeFill="background1" w:themeFillShade="F2"/>
          </w:tcPr>
          <w:p w14:paraId="0A324BAC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20</w:t>
            </w:r>
          </w:p>
        </w:tc>
        <w:tc>
          <w:tcPr>
            <w:tcW w:w="676" w:type="pct"/>
            <w:shd w:val="clear" w:color="auto" w:fill="F2F2F2" w:themeFill="background1" w:themeFillShade="F2"/>
          </w:tcPr>
          <w:p w14:paraId="468DB7D6" w14:textId="77777777" w:rsidR="00A94E77" w:rsidRPr="00613219" w:rsidRDefault="00A94E77" w:rsidP="00A94E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B6041">
              <w:t>22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5D268FB" w14:textId="77777777" w:rsidR="00A94E77" w:rsidRPr="00613219" w:rsidRDefault="00A94E77" w:rsidP="00A94E7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4E40C967" w:rsidR="009715DA" w:rsidRDefault="009715DA" w:rsidP="00A94E7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7B5B72" w14:textId="656FF4E3" w:rsidR="00A94E77" w:rsidRDefault="00A94E77" w:rsidP="00A94E7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128574" w14:textId="48967693" w:rsidR="00A94E77" w:rsidRDefault="00A94E77" w:rsidP="00A94E7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4FD186" w14:textId="4425DFA4" w:rsidR="00A94E77" w:rsidRDefault="00A94E77" w:rsidP="00A94E7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0167DF" w14:textId="5CFAD949" w:rsidR="00A94E77" w:rsidRDefault="00A94E77" w:rsidP="00A94E7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6EA85A" w14:textId="77777777" w:rsidR="00A94E77" w:rsidRDefault="00A94E77" w:rsidP="00A94E7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A94E77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A94E77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36676873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5FE6E20C" w14:textId="163D4E94" w:rsidR="00613219" w:rsidRDefault="00DE39D8" w:rsidP="00A94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A94E7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A94E7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94E77" w:rsidRPr="009D04EE" w14:paraId="6FAD6FD3" w14:textId="77777777" w:rsidTr="00161279">
        <w:tc>
          <w:tcPr>
            <w:tcW w:w="1851" w:type="pct"/>
            <w:gridSpan w:val="2"/>
            <w:shd w:val="clear" w:color="auto" w:fill="92D050"/>
          </w:tcPr>
          <w:p w14:paraId="4367A093" w14:textId="77777777" w:rsidR="00A94E77" w:rsidRPr="00437D28" w:rsidRDefault="00A94E77" w:rsidP="00A94E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987F420" w14:textId="77777777" w:rsidR="00A94E77" w:rsidRPr="00437D28" w:rsidRDefault="00A94E77" w:rsidP="00A94E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94E77" w:rsidRPr="009D04EE" w14:paraId="4B0080BD" w14:textId="77777777" w:rsidTr="00161279">
        <w:tc>
          <w:tcPr>
            <w:tcW w:w="282" w:type="pct"/>
            <w:shd w:val="clear" w:color="auto" w:fill="00B050"/>
          </w:tcPr>
          <w:p w14:paraId="6BA7E9C3" w14:textId="77777777" w:rsidR="00A94E77" w:rsidRPr="00437D28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3BFBE46" w14:textId="77777777" w:rsidR="00A94E77" w:rsidRPr="004904C5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b/>
                <w:sz w:val="24"/>
                <w:szCs w:val="24"/>
              </w:rPr>
              <w:t>Защита корпоративной ИТ-инфраструктуры</w:t>
            </w:r>
          </w:p>
        </w:tc>
        <w:tc>
          <w:tcPr>
            <w:tcW w:w="3149" w:type="pct"/>
            <w:shd w:val="clear" w:color="auto" w:fill="auto"/>
          </w:tcPr>
          <w:p w14:paraId="0DF35495" w14:textId="77777777" w:rsidR="00A94E77" w:rsidRPr="009D04EE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sz w:val="24"/>
                <w:szCs w:val="24"/>
              </w:rPr>
              <w:t>Оценивается корректная интеграция и настройка средств программной защиты, созданные политики, отчет</w:t>
            </w:r>
          </w:p>
        </w:tc>
      </w:tr>
      <w:tr w:rsidR="00A94E77" w:rsidRPr="009D04EE" w14:paraId="1BB7A8BD" w14:textId="77777777" w:rsidTr="00161279">
        <w:tc>
          <w:tcPr>
            <w:tcW w:w="282" w:type="pct"/>
            <w:shd w:val="clear" w:color="auto" w:fill="00B050"/>
          </w:tcPr>
          <w:p w14:paraId="6D57BDBB" w14:textId="77777777" w:rsidR="00A94E77" w:rsidRPr="00437D28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A169E6D" w14:textId="77777777" w:rsidR="00A94E77" w:rsidRPr="004904C5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b/>
                <w:sz w:val="24"/>
                <w:szCs w:val="24"/>
              </w:rPr>
              <w:t>Расследование инцидентов информационной безопасности</w:t>
            </w:r>
          </w:p>
        </w:tc>
        <w:tc>
          <w:tcPr>
            <w:tcW w:w="3149" w:type="pct"/>
            <w:shd w:val="clear" w:color="auto" w:fill="auto"/>
          </w:tcPr>
          <w:p w14:paraId="30C8A03A" w14:textId="77777777" w:rsidR="00A94E77" w:rsidRPr="009D04EE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sz w:val="24"/>
                <w:szCs w:val="24"/>
              </w:rPr>
              <w:t>Оценивается количество расследованных инцидентов и полнота описания используемых методов.</w:t>
            </w:r>
          </w:p>
        </w:tc>
      </w:tr>
      <w:tr w:rsidR="00A94E77" w:rsidRPr="009D04EE" w14:paraId="10723039" w14:textId="77777777" w:rsidTr="00161279">
        <w:tc>
          <w:tcPr>
            <w:tcW w:w="282" w:type="pct"/>
            <w:shd w:val="clear" w:color="auto" w:fill="00B050"/>
          </w:tcPr>
          <w:p w14:paraId="6FD12210" w14:textId="77777777" w:rsidR="00A94E77" w:rsidRPr="00437D28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514C3FC" w14:textId="77777777" w:rsidR="00A94E77" w:rsidRPr="004904C5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b/>
                <w:sz w:val="24"/>
                <w:szCs w:val="24"/>
              </w:rPr>
              <w:t>Аудит информационной системы</w:t>
            </w:r>
          </w:p>
        </w:tc>
        <w:tc>
          <w:tcPr>
            <w:tcW w:w="3149" w:type="pct"/>
            <w:shd w:val="clear" w:color="auto" w:fill="auto"/>
          </w:tcPr>
          <w:p w14:paraId="48AF8445" w14:textId="77777777" w:rsidR="00A94E77" w:rsidRPr="009D04EE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sz w:val="24"/>
                <w:szCs w:val="24"/>
              </w:rPr>
              <w:t>Оценивается умение находить и эксплуатировать имеющиеся уязвимости в сетях и системах</w:t>
            </w:r>
          </w:p>
        </w:tc>
      </w:tr>
      <w:tr w:rsidR="00A94E77" w:rsidRPr="009D04EE" w14:paraId="343CD0D3" w14:textId="77777777" w:rsidTr="00161279">
        <w:tc>
          <w:tcPr>
            <w:tcW w:w="282" w:type="pct"/>
            <w:shd w:val="clear" w:color="auto" w:fill="00B050"/>
          </w:tcPr>
          <w:p w14:paraId="07B0B66E" w14:textId="77777777" w:rsidR="00A94E77" w:rsidRPr="00437D28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21534486" w14:textId="77777777" w:rsidR="00A94E77" w:rsidRPr="004904C5" w:rsidRDefault="00A94E77" w:rsidP="00A94E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77268B">
              <w:rPr>
                <w:b/>
                <w:sz w:val="24"/>
                <w:szCs w:val="24"/>
              </w:rPr>
              <w:t>Проактивный</w:t>
            </w:r>
            <w:proofErr w:type="spellEnd"/>
            <w:r w:rsidRPr="0077268B">
              <w:rPr>
                <w:b/>
                <w:sz w:val="24"/>
                <w:szCs w:val="24"/>
              </w:rPr>
              <w:t xml:space="preserve"> анализ</w:t>
            </w:r>
          </w:p>
        </w:tc>
        <w:tc>
          <w:tcPr>
            <w:tcW w:w="3149" w:type="pct"/>
            <w:shd w:val="clear" w:color="auto" w:fill="auto"/>
          </w:tcPr>
          <w:p w14:paraId="127882C1" w14:textId="77777777" w:rsidR="00A94E77" w:rsidRPr="004904C5" w:rsidRDefault="00A94E77" w:rsidP="00A94E77">
            <w:pPr>
              <w:tabs>
                <w:tab w:val="left" w:pos="11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77268B">
              <w:rPr>
                <w:sz w:val="24"/>
                <w:szCs w:val="24"/>
              </w:rPr>
              <w:t>Оценивается корректность анализа полученных данных, ликвидаций результатов атаки и рекомендаций для защиты.</w:t>
            </w:r>
          </w:p>
        </w:tc>
      </w:tr>
    </w:tbl>
    <w:p w14:paraId="49D462FF" w14:textId="393EDB37" w:rsidR="0037535C" w:rsidRDefault="0037535C" w:rsidP="00A94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A94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81A529A" w14:textId="745ED683" w:rsidR="00A94E77" w:rsidRDefault="00A94E77" w:rsidP="00A94E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</w:t>
      </w:r>
      <w:r w:rsidR="00A0378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(</w:t>
      </w:r>
      <w:r w:rsidR="00A03783"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4DFB817" w14:textId="77777777" w:rsidR="00A94E77" w:rsidRPr="003732A7" w:rsidRDefault="00A94E77" w:rsidP="00A94E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15A5EB2D" w14:textId="77777777" w:rsidR="00A94E77" w:rsidRPr="00A204BB" w:rsidRDefault="00A94E77" w:rsidP="00A94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93BE641" w14:textId="77777777" w:rsidR="00A94E77" w:rsidRDefault="00A94E77" w:rsidP="00A94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4C8F24C0" w:rsidR="005A1625" w:rsidRDefault="005A1625" w:rsidP="00A94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77B90E" w14:textId="77777777" w:rsidR="00A94E77" w:rsidRDefault="00A94E77" w:rsidP="00A94E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72031D22" w14:textId="77777777" w:rsidR="00A94E77" w:rsidRPr="008C41F7" w:rsidRDefault="00A94E77" w:rsidP="00A94E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C819364" w14:textId="77777777" w:rsidR="00A94E77" w:rsidRPr="008C41F7" w:rsidRDefault="00A94E77" w:rsidP="00A94E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A94E7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A94E7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A94E77" w:rsidRPr="00024F7D" w14:paraId="21DC535F" w14:textId="77777777" w:rsidTr="00161279">
        <w:trPr>
          <w:trHeight w:val="1125"/>
        </w:trPr>
        <w:tc>
          <w:tcPr>
            <w:tcW w:w="1622" w:type="dxa"/>
            <w:vAlign w:val="center"/>
          </w:tcPr>
          <w:p w14:paraId="46DB515D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66CD3187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68F1F297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24F46FF0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5076FEF0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001F123C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430B417E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A94E77" w:rsidRPr="00024F7D" w14:paraId="1852D28E" w14:textId="77777777" w:rsidTr="00161279">
        <w:trPr>
          <w:trHeight w:val="1125"/>
        </w:trPr>
        <w:tc>
          <w:tcPr>
            <w:tcW w:w="1622" w:type="dxa"/>
            <w:vAlign w:val="center"/>
          </w:tcPr>
          <w:p w14:paraId="1C772826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224BFBF8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80E1B7B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304114FA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4BCE85C0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4CEDE2CD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5D22BA52" w14:textId="77777777" w:rsidR="00A94E77" w:rsidRPr="00024F7D" w:rsidRDefault="00A94E77" w:rsidP="00A94E77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7797994D" w14:textId="77777777" w:rsidR="00C536BA" w:rsidRDefault="00C536BA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01F16" w14:textId="77777777" w:rsidR="00A94E77" w:rsidRPr="008C41F7" w:rsidRDefault="00A94E77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A94E77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36676874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8"/>
    </w:p>
    <w:p w14:paraId="68A0C08C" w14:textId="77777777" w:rsidR="00A94E77" w:rsidRDefault="00A94E77" w:rsidP="00A94E77">
      <w:pPr>
        <w:pStyle w:val="-2"/>
        <w:spacing w:before="0" w:after="0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9" w:name="_Toc127723132"/>
      <w:bookmarkStart w:id="10" w:name="_Toc127791572"/>
      <w:bookmarkStart w:id="11" w:name="_Toc136676875"/>
      <w:r w:rsidRPr="000B55A2">
        <w:rPr>
          <w:rFonts w:ascii="Times New Roman" w:hAnsi="Times New Roman"/>
          <w:szCs w:val="28"/>
        </w:rPr>
        <w:t>1.5.2.</w:t>
      </w:r>
      <w:r>
        <w:rPr>
          <w:rFonts w:ascii="Times New Roman" w:hAnsi="Times New Roman"/>
          <w:szCs w:val="28"/>
        </w:rPr>
        <w:t>1.</w:t>
      </w:r>
      <w:r w:rsidRPr="000B55A2">
        <w:rPr>
          <w:rFonts w:ascii="Times New Roman" w:hAnsi="Times New Roman"/>
          <w:szCs w:val="28"/>
        </w:rPr>
        <w:t xml:space="preserve">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9"/>
      <w:bookmarkEnd w:id="10"/>
      <w:bookmarkEnd w:id="11"/>
    </w:p>
    <w:p w14:paraId="2479DB65" w14:textId="77777777" w:rsidR="000B55A2" w:rsidRDefault="000B55A2" w:rsidP="00A94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E1E75" w14:textId="77777777" w:rsidR="00A94E77" w:rsidRPr="00C97E44" w:rsidRDefault="00A94E77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54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Защита корпоративной ИТ-инфраструктуры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1134F63" w14:textId="63411F26" w:rsidR="00A94E77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3783">
        <w:rPr>
          <w:rFonts w:ascii="Times New Roman" w:eastAsia="Times New Roman" w:hAnsi="Times New Roman" w:cs="Times New Roman"/>
          <w:bCs/>
          <w:sz w:val="28"/>
          <w:szCs w:val="28"/>
        </w:rPr>
        <w:t xml:space="preserve">4 часа </w:t>
      </w:r>
      <w:r w:rsidR="00A03783">
        <w:rPr>
          <w:rFonts w:ascii="Times New Roman" w:eastAsia="Times New Roman" w:hAnsi="Times New Roman" w:cs="Times New Roman"/>
          <w:bCs/>
          <w:sz w:val="28"/>
          <w:szCs w:val="28"/>
        </w:rPr>
        <w:t>(обучающиеся школ)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CD95D7D" w14:textId="77777777" w:rsidR="00A94E77" w:rsidRPr="00C97E44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3CDB3A" w14:textId="53F52431" w:rsidR="00A94E77" w:rsidRPr="005654BA" w:rsidRDefault="00A94E77" w:rsidP="00C536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54BA">
        <w:rPr>
          <w:rFonts w:ascii="Times New Roman" w:hAnsi="Times New Roman" w:cs="Times New Roman"/>
          <w:sz w:val="28"/>
          <w:szCs w:val="28"/>
        </w:rPr>
        <w:t>Предприятие ПАО «ИБ» имеет два удаленных филиалов «Питер» и «Столица» в разных регионах Российской Федерации. Для развития и модернизации сетевой инфраструктуры филиалов, руководством был сформирован новый отдел сетевой безопасности, в которым Вы занимаете должность специалиста по сетевой безопасности.</w:t>
      </w:r>
    </w:p>
    <w:p w14:paraId="5EB31FAD" w14:textId="77777777" w:rsidR="00A94E77" w:rsidRPr="005654BA" w:rsidRDefault="00A94E77" w:rsidP="00C536B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4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Входные данные: </w:t>
      </w:r>
    </w:p>
    <w:p w14:paraId="18D3275C" w14:textId="77777777" w:rsidR="00A94E77" w:rsidRPr="005654BA" w:rsidRDefault="00A94E77" w:rsidP="00C53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4BA">
        <w:rPr>
          <w:rFonts w:ascii="Times New Roman" w:hAnsi="Times New Roman" w:cs="Times New Roman"/>
          <w:sz w:val="28"/>
          <w:szCs w:val="28"/>
        </w:rPr>
        <w:t>- Техническое задание;</w:t>
      </w:r>
    </w:p>
    <w:p w14:paraId="7799C365" w14:textId="77777777" w:rsidR="00A94E77" w:rsidRPr="005654BA" w:rsidRDefault="00A94E77" w:rsidP="00C53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4BA">
        <w:rPr>
          <w:rFonts w:ascii="Times New Roman" w:hAnsi="Times New Roman" w:cs="Times New Roman"/>
          <w:sz w:val="28"/>
          <w:szCs w:val="28"/>
        </w:rPr>
        <w:t>- Набор программного обеспечения и лицензионных соглашений;</w:t>
      </w:r>
    </w:p>
    <w:p w14:paraId="60E9E4C3" w14:textId="77777777" w:rsidR="00A94E77" w:rsidRPr="005654BA" w:rsidRDefault="00A94E77" w:rsidP="00C536B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4BA">
        <w:rPr>
          <w:rFonts w:ascii="Times New Roman" w:hAnsi="Times New Roman" w:cs="Times New Roman"/>
          <w:sz w:val="28"/>
          <w:szCs w:val="28"/>
        </w:rPr>
        <w:t>Вашими коллегами была сформирована новая топология сети, согласно техническому заданию. Вам необходимо:</w:t>
      </w:r>
    </w:p>
    <w:p w14:paraId="07F9FC69" w14:textId="77777777" w:rsidR="00A94E77" w:rsidRPr="005654BA" w:rsidRDefault="00A94E77" w:rsidP="00C536BA">
      <w:pPr>
        <w:pStyle w:val="aff1"/>
        <w:numPr>
          <w:ilvl w:val="0"/>
          <w:numId w:val="23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</w:rPr>
        <w:t>Произвести настройку оборудования и программного обеспечения</w:t>
      </w:r>
      <w:r>
        <w:rPr>
          <w:rFonts w:ascii="Times New Roman" w:hAnsi="Times New Roman"/>
          <w:sz w:val="28"/>
          <w:szCs w:val="28"/>
        </w:rPr>
        <w:t>:</w:t>
      </w:r>
    </w:p>
    <w:p w14:paraId="1C550D61" w14:textId="77777777" w:rsidR="00A94E77" w:rsidRPr="005654BA" w:rsidRDefault="00A94E77" w:rsidP="00C536BA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FW</w:t>
      </w:r>
      <w:r w:rsidRPr="005654BA">
        <w:rPr>
          <w:rFonts w:ascii="Times New Roman" w:hAnsi="Times New Roman"/>
          <w:sz w:val="28"/>
          <w:szCs w:val="28"/>
        </w:rPr>
        <w:t xml:space="preserve">1, </w:t>
      </w:r>
      <w:r>
        <w:rPr>
          <w:rFonts w:ascii="Times New Roman" w:hAnsi="Times New Roman"/>
          <w:sz w:val="28"/>
          <w:szCs w:val="28"/>
          <w:lang w:val="en-US"/>
        </w:rPr>
        <w:t>FW</w:t>
      </w:r>
      <w:r w:rsidRPr="001E38D3">
        <w:rPr>
          <w:rFonts w:ascii="Times New Roman" w:hAnsi="Times New Roman"/>
          <w:sz w:val="28"/>
          <w:szCs w:val="28"/>
        </w:rPr>
        <w:t>2</w:t>
      </w:r>
      <w:r w:rsidRPr="005654BA">
        <w:rPr>
          <w:rFonts w:ascii="Times New Roman" w:hAnsi="Times New Roman"/>
          <w:sz w:val="28"/>
          <w:szCs w:val="28"/>
        </w:rPr>
        <w:t xml:space="preserve"> – Межсетевые экран нового поколения, выполняющие роль фильтрации входящего и исходящего трафика.</w:t>
      </w:r>
    </w:p>
    <w:p w14:paraId="05EF15CA" w14:textId="77777777" w:rsidR="00A94E77" w:rsidRPr="005654BA" w:rsidRDefault="00A94E77" w:rsidP="00C536BA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  <w:lang w:val="en-US"/>
        </w:rPr>
        <w:t>CHR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5654BA">
        <w:rPr>
          <w:rFonts w:ascii="Times New Roman" w:hAnsi="Times New Roman"/>
          <w:sz w:val="28"/>
          <w:szCs w:val="28"/>
          <w:lang w:val="en-US"/>
        </w:rPr>
        <w:t xml:space="preserve">1, </w:t>
      </w:r>
      <w:r>
        <w:rPr>
          <w:rFonts w:ascii="Times New Roman" w:hAnsi="Times New Roman"/>
          <w:sz w:val="28"/>
          <w:szCs w:val="28"/>
          <w:lang w:val="en-US"/>
        </w:rPr>
        <w:t>vESR-</w:t>
      </w:r>
      <w:r w:rsidRPr="005654BA">
        <w:rPr>
          <w:rFonts w:ascii="Times New Roman" w:hAnsi="Times New Roman"/>
          <w:sz w:val="28"/>
          <w:szCs w:val="28"/>
          <w:lang w:val="en-US"/>
        </w:rPr>
        <w:t xml:space="preserve">1 – </w:t>
      </w:r>
      <w:r w:rsidRPr="005654BA">
        <w:rPr>
          <w:rFonts w:ascii="Times New Roman" w:hAnsi="Times New Roman"/>
          <w:sz w:val="28"/>
          <w:szCs w:val="28"/>
        </w:rPr>
        <w:t>Сетевые маршрутизаторы</w:t>
      </w:r>
    </w:p>
    <w:p w14:paraId="402387CD" w14:textId="77777777" w:rsidR="00A94E77" w:rsidRPr="005654BA" w:rsidRDefault="00A94E77" w:rsidP="00C536BA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</w:rPr>
        <w:t xml:space="preserve">С1, </w:t>
      </w:r>
      <w:r w:rsidRPr="005654BA">
        <w:rPr>
          <w:rFonts w:ascii="Times New Roman" w:hAnsi="Times New Roman"/>
          <w:sz w:val="28"/>
          <w:szCs w:val="28"/>
          <w:lang w:val="en-US"/>
        </w:rPr>
        <w:t>C</w:t>
      </w:r>
      <w:r w:rsidRPr="005654BA">
        <w:rPr>
          <w:rFonts w:ascii="Times New Roman" w:hAnsi="Times New Roman"/>
          <w:sz w:val="28"/>
          <w:szCs w:val="28"/>
        </w:rPr>
        <w:t>2 – Шлюзы безопасности</w:t>
      </w:r>
    </w:p>
    <w:p w14:paraId="2E1D9DC3" w14:textId="77777777" w:rsidR="00A94E77" w:rsidRPr="005654BA" w:rsidRDefault="00A94E77" w:rsidP="00C536BA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  <w:lang w:val="en-US"/>
        </w:rPr>
        <w:t>A</w:t>
      </w:r>
      <w:r w:rsidRPr="005654BA">
        <w:rPr>
          <w:rFonts w:ascii="Times New Roman" w:hAnsi="Times New Roman"/>
          <w:sz w:val="28"/>
          <w:szCs w:val="28"/>
        </w:rPr>
        <w:t xml:space="preserve">1, </w:t>
      </w:r>
      <w:r w:rsidRPr="005654BA">
        <w:rPr>
          <w:rFonts w:ascii="Times New Roman" w:hAnsi="Times New Roman"/>
          <w:sz w:val="28"/>
          <w:szCs w:val="28"/>
          <w:lang w:val="en-US"/>
        </w:rPr>
        <w:t>A</w:t>
      </w:r>
      <w:r w:rsidRPr="005654BA">
        <w:rPr>
          <w:rFonts w:ascii="Times New Roman" w:hAnsi="Times New Roman"/>
          <w:sz w:val="28"/>
          <w:szCs w:val="28"/>
        </w:rPr>
        <w:t xml:space="preserve">2, </w:t>
      </w:r>
      <w:r w:rsidRPr="005654BA">
        <w:rPr>
          <w:rFonts w:ascii="Times New Roman" w:hAnsi="Times New Roman"/>
          <w:sz w:val="28"/>
          <w:szCs w:val="28"/>
          <w:lang w:val="en-US"/>
        </w:rPr>
        <w:t>A</w:t>
      </w:r>
      <w:r w:rsidRPr="005654BA">
        <w:rPr>
          <w:rFonts w:ascii="Times New Roman" w:hAnsi="Times New Roman"/>
          <w:sz w:val="28"/>
          <w:szCs w:val="28"/>
        </w:rPr>
        <w:t xml:space="preserve">3, </w:t>
      </w:r>
      <w:r w:rsidRPr="005654BA">
        <w:rPr>
          <w:rFonts w:ascii="Times New Roman" w:hAnsi="Times New Roman"/>
          <w:sz w:val="28"/>
          <w:szCs w:val="28"/>
          <w:lang w:val="en-US"/>
        </w:rPr>
        <w:t>A</w:t>
      </w:r>
      <w:r w:rsidRPr="005654BA">
        <w:rPr>
          <w:rFonts w:ascii="Times New Roman" w:hAnsi="Times New Roman"/>
          <w:sz w:val="28"/>
          <w:szCs w:val="28"/>
        </w:rPr>
        <w:t>4 – Рабочие места сотрудников</w:t>
      </w:r>
    </w:p>
    <w:p w14:paraId="413A16F5" w14:textId="77777777" w:rsidR="00A94E77" w:rsidRPr="005654BA" w:rsidRDefault="00A94E77" w:rsidP="00C536BA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  <w:lang w:val="en-US"/>
        </w:rPr>
        <w:t>R</w:t>
      </w:r>
      <w:r w:rsidRPr="005654BA">
        <w:rPr>
          <w:rFonts w:ascii="Times New Roman" w:hAnsi="Times New Roman"/>
          <w:sz w:val="28"/>
          <w:szCs w:val="28"/>
        </w:rPr>
        <w:t xml:space="preserve">1, </w:t>
      </w:r>
      <w:r w:rsidRPr="005654BA">
        <w:rPr>
          <w:rFonts w:ascii="Times New Roman" w:hAnsi="Times New Roman"/>
          <w:sz w:val="28"/>
          <w:szCs w:val="28"/>
          <w:lang w:val="en-US"/>
        </w:rPr>
        <w:t>R</w:t>
      </w:r>
      <w:r w:rsidRPr="005654BA">
        <w:rPr>
          <w:rFonts w:ascii="Times New Roman" w:hAnsi="Times New Roman"/>
          <w:sz w:val="28"/>
          <w:szCs w:val="28"/>
        </w:rPr>
        <w:t xml:space="preserve">2, </w:t>
      </w:r>
      <w:r>
        <w:rPr>
          <w:rFonts w:ascii="Times New Roman" w:hAnsi="Times New Roman"/>
          <w:sz w:val="28"/>
          <w:szCs w:val="28"/>
          <w:lang w:val="en-US"/>
        </w:rPr>
        <w:t>AT</w:t>
      </w:r>
      <w:r w:rsidRPr="005654BA">
        <w:rPr>
          <w:rFonts w:ascii="Times New Roman" w:hAnsi="Times New Roman"/>
          <w:sz w:val="28"/>
          <w:szCs w:val="28"/>
        </w:rPr>
        <w:t xml:space="preserve">1, </w:t>
      </w:r>
      <w:r>
        <w:rPr>
          <w:rFonts w:ascii="Times New Roman" w:hAnsi="Times New Roman"/>
          <w:sz w:val="28"/>
          <w:szCs w:val="28"/>
          <w:lang w:val="en-US"/>
        </w:rPr>
        <w:t>AT</w:t>
      </w:r>
      <w:r w:rsidRPr="005654BA">
        <w:rPr>
          <w:rFonts w:ascii="Times New Roman" w:hAnsi="Times New Roman"/>
          <w:sz w:val="28"/>
          <w:szCs w:val="28"/>
        </w:rPr>
        <w:t xml:space="preserve">2 – Рабочие места сотрудников, оснащенные возможностью работы с защищенной </w:t>
      </w:r>
      <w:r w:rsidRPr="005654BA">
        <w:rPr>
          <w:rFonts w:ascii="Times New Roman" w:hAnsi="Times New Roman"/>
          <w:sz w:val="28"/>
          <w:szCs w:val="28"/>
          <w:lang w:val="en-US"/>
        </w:rPr>
        <w:t>VPN</w:t>
      </w:r>
      <w:r w:rsidRPr="005654BA">
        <w:rPr>
          <w:rFonts w:ascii="Times New Roman" w:hAnsi="Times New Roman"/>
          <w:sz w:val="28"/>
          <w:szCs w:val="28"/>
        </w:rPr>
        <w:t xml:space="preserve"> сети</w:t>
      </w:r>
    </w:p>
    <w:p w14:paraId="6C8F9C07" w14:textId="77777777" w:rsidR="00A94E77" w:rsidRPr="005654BA" w:rsidRDefault="00A94E77" w:rsidP="00C536BA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  <w:lang w:val="en-US"/>
        </w:rPr>
        <w:t xml:space="preserve">ALD1 – </w:t>
      </w:r>
      <w:r w:rsidRPr="005654BA">
        <w:rPr>
          <w:rFonts w:ascii="Times New Roman" w:hAnsi="Times New Roman"/>
          <w:sz w:val="28"/>
          <w:szCs w:val="28"/>
        </w:rPr>
        <w:t>сервер филиала «Питер»</w:t>
      </w:r>
    </w:p>
    <w:p w14:paraId="5C61AF61" w14:textId="77777777" w:rsidR="00A94E77" w:rsidRDefault="00A94E77" w:rsidP="00C536BA">
      <w:pPr>
        <w:pStyle w:val="aff1"/>
        <w:numPr>
          <w:ilvl w:val="1"/>
          <w:numId w:val="24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/>
          <w:sz w:val="28"/>
          <w:szCs w:val="28"/>
          <w:lang w:val="en-US"/>
        </w:rPr>
        <w:t>MC</w:t>
      </w:r>
      <w:r w:rsidRPr="005654BA">
        <w:rPr>
          <w:rFonts w:ascii="Times New Roman" w:hAnsi="Times New Roman"/>
          <w:sz w:val="28"/>
          <w:szCs w:val="28"/>
        </w:rPr>
        <w:t xml:space="preserve">, </w:t>
      </w:r>
      <w:r w:rsidRPr="005654BA">
        <w:rPr>
          <w:rFonts w:ascii="Times New Roman" w:hAnsi="Times New Roman"/>
          <w:sz w:val="28"/>
          <w:szCs w:val="28"/>
          <w:lang w:val="en-US"/>
        </w:rPr>
        <w:t>NS</w:t>
      </w:r>
      <w:r w:rsidRPr="005654BA">
        <w:rPr>
          <w:rFonts w:ascii="Times New Roman" w:hAnsi="Times New Roman"/>
          <w:sz w:val="28"/>
          <w:szCs w:val="28"/>
        </w:rPr>
        <w:t xml:space="preserve">, </w:t>
      </w:r>
      <w:r w:rsidRPr="005654BA">
        <w:rPr>
          <w:rFonts w:ascii="Times New Roman" w:hAnsi="Times New Roman"/>
          <w:sz w:val="28"/>
          <w:szCs w:val="28"/>
          <w:lang w:val="en-US"/>
        </w:rPr>
        <w:t>HS</w:t>
      </w:r>
      <w:r w:rsidRPr="005654BA">
        <w:rPr>
          <w:rFonts w:ascii="Times New Roman" w:hAnsi="Times New Roman"/>
          <w:sz w:val="28"/>
          <w:szCs w:val="28"/>
        </w:rPr>
        <w:t xml:space="preserve">, </w:t>
      </w:r>
      <w:r w:rsidRPr="005654BA">
        <w:rPr>
          <w:rFonts w:ascii="Times New Roman" w:hAnsi="Times New Roman"/>
          <w:sz w:val="28"/>
          <w:szCs w:val="28"/>
          <w:lang w:val="en-US"/>
        </w:rPr>
        <w:t>TIAS</w:t>
      </w:r>
      <w:r w:rsidRPr="005654BA">
        <w:rPr>
          <w:rFonts w:ascii="Times New Roman" w:hAnsi="Times New Roman"/>
          <w:sz w:val="28"/>
          <w:szCs w:val="28"/>
        </w:rPr>
        <w:t xml:space="preserve"> – Система обнаружения вторжений</w:t>
      </w:r>
    </w:p>
    <w:p w14:paraId="1453F99A" w14:textId="46ECAE57" w:rsidR="00C536BA" w:rsidRPr="00C536BA" w:rsidRDefault="00A94E77" w:rsidP="00C536BA">
      <w:pPr>
        <w:pStyle w:val="aff1"/>
        <w:numPr>
          <w:ilvl w:val="0"/>
          <w:numId w:val="24"/>
        </w:numPr>
        <w:spacing w:after="16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Составить отчетную документацию о проделанной работе, предоставив всю необходимую информацию для доступа к настроенной инфраструктуре. </w:t>
      </w:r>
    </w:p>
    <w:p w14:paraId="0B5F269F" w14:textId="77777777" w:rsidR="00C536BA" w:rsidRDefault="00C536BA" w:rsidP="00C536BA">
      <w:p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6E072EB" w14:textId="00E925E3" w:rsidR="00A94E77" w:rsidRPr="00C536BA" w:rsidRDefault="00A94E77" w:rsidP="00C536BA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36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Б.</w:t>
      </w:r>
      <w:r w:rsidRPr="00C536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Расследование инцидентов информационной безопасности</w:t>
      </w:r>
    </w:p>
    <w:p w14:paraId="389A9D55" w14:textId="77777777" w:rsidR="00A03783" w:rsidRPr="00C97E44" w:rsidRDefault="00A03783" w:rsidP="00A03783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  <w:r w:rsidRPr="00113E99">
        <w:rPr>
          <w:rFonts w:ascii="Times New Roman" w:eastAsia="Times New Roman" w:hAnsi="Times New Roman" w:cs="Times New Roman"/>
          <w:bCs/>
          <w:sz w:val="28"/>
          <w:szCs w:val="28"/>
        </w:rPr>
        <w:t>(обучающиеся школ).</w:t>
      </w:r>
    </w:p>
    <w:p w14:paraId="3E5EF567" w14:textId="77777777" w:rsidR="00A94E77" w:rsidRPr="00C97E44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F95725" w14:textId="77777777" w:rsidR="00A94E77" w:rsidRPr="00264DE2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 пригласили в компанию ООО «ИБ»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 проведения расследования ин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цидентов информационной безопасности.</w:t>
      </w:r>
    </w:p>
    <w:p w14:paraId="07910168" w14:textId="77777777" w:rsidR="00A94E77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ab/>
        <w:t>Вам будет предоставлен набор зада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ний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тасков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), к которым требует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ся найти и отправить ответ. Ответ даётся в виде флага, состоящего из набора символов или произвольной фр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азы. За верное выполнение каждо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 задания команда получает очки. Чем сложнее 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таск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, тем больше очков даётся за 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правильный ответ. Задания будут выданы в формате Task-Based, по следующим возможным категориям: задачи на нахождение веб-уязвимостей (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web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), поиск и эксплуатацию уязвимостей в приложениях (PWN), исследование программ без исход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ного кода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reverse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), расследова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ние инцидентов (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forensic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), администрирование (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admin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), криптографию (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crypto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), стеганографию (</w:t>
      </w:r>
      <w:proofErr w:type="spell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stegano</w:t>
      </w:r>
      <w:proofErr w:type="spell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), пои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 информации из открытых источ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ников (OSINT)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0EFB9E3" w14:textId="77777777" w:rsidR="00A94E77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Задача – решить максимальное количество инцидентов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тасков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), подготовить отчет по каждому решению.</w:t>
      </w:r>
    </w:p>
    <w:p w14:paraId="753F2003" w14:textId="77777777" w:rsidR="00A94E77" w:rsidRPr="000B55A2" w:rsidRDefault="00A94E77" w:rsidP="00A94E77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</w:p>
    <w:p w14:paraId="11BC0343" w14:textId="77777777" w:rsidR="00A94E77" w:rsidRPr="00C97E44" w:rsidRDefault="00A94E77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54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Аудит информационной системы</w:t>
      </w:r>
    </w:p>
    <w:p w14:paraId="1E92A437" w14:textId="77777777" w:rsidR="00A03783" w:rsidRPr="00C97E44" w:rsidRDefault="00A03783" w:rsidP="00A03783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  <w:r w:rsidRPr="00113E99">
        <w:rPr>
          <w:rFonts w:ascii="Times New Roman" w:eastAsia="Times New Roman" w:hAnsi="Times New Roman" w:cs="Times New Roman"/>
          <w:bCs/>
          <w:sz w:val="28"/>
          <w:szCs w:val="28"/>
        </w:rPr>
        <w:t>(обучающиеся школ).</w:t>
      </w:r>
    </w:p>
    <w:p w14:paraId="49D96D07" w14:textId="77777777" w:rsidR="00A94E77" w:rsidRPr="00C97E44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5389291" w14:textId="77777777" w:rsidR="00A94E77" w:rsidRPr="00D36C28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Вас пригласили в компанию ООО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ИБ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для проведения аудита компании с целью поиска возможных уязвимостей в действующем программном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обес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печении и сервисах используемыми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омпанией. Ваша работа будет осу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ществляется в формате Red Team – вам разрешены попытки получить доступ к системе любыми способами, включающими в себя тестирование на проникновение; тестирование линий св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язи, беспроводных и радиочастот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ных систем; тестирование сотрудников посредством сценариев социальной инженерии.</w:t>
      </w:r>
    </w:p>
    <w:p w14:paraId="565B832A" w14:textId="77777777" w:rsidR="00A94E77" w:rsidRPr="00D36C28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ab/>
        <w:t>Вам будет предоставлена вводная информация о комп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ании. Необхо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димо провести анализ и дать описание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айденной уязвимости, а также ре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комендации к устранению выявленных инцидентов.</w:t>
      </w:r>
    </w:p>
    <w:p w14:paraId="2E3E3C27" w14:textId="2496813B" w:rsidR="00C536BA" w:rsidRDefault="00C536BA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E87ED7" w14:textId="3E56BFBE" w:rsidR="00C536BA" w:rsidRDefault="00C536BA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06BA5C" w14:textId="1A282933" w:rsidR="00C536BA" w:rsidRDefault="00C536BA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C151D6" w14:textId="406D3D15" w:rsidR="00C536BA" w:rsidRDefault="00C536BA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CD2D44" w14:textId="2C2895EC" w:rsidR="00C536BA" w:rsidRDefault="00C536BA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0C3E33" w14:textId="77777777" w:rsidR="00A03783" w:rsidRDefault="00A03783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EC6418" w14:textId="77777777" w:rsidR="00C536BA" w:rsidRPr="00C97E44" w:rsidRDefault="00C536BA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E27C6C" w14:textId="77777777" w:rsidR="00A94E77" w:rsidRPr="00C97E44" w:rsidRDefault="00A94E77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6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Проактивный</w:t>
      </w:r>
      <w:proofErr w:type="spellEnd"/>
      <w:r w:rsidRPr="0026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</w:t>
      </w:r>
    </w:p>
    <w:p w14:paraId="6CBAFE98" w14:textId="77777777" w:rsidR="00A03783" w:rsidRPr="00C97E44" w:rsidRDefault="00A03783" w:rsidP="00A03783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 </w:t>
      </w:r>
      <w:r w:rsidRPr="00113E99">
        <w:rPr>
          <w:rFonts w:ascii="Times New Roman" w:eastAsia="Times New Roman" w:hAnsi="Times New Roman" w:cs="Times New Roman"/>
          <w:bCs/>
          <w:sz w:val="28"/>
          <w:szCs w:val="28"/>
        </w:rPr>
        <w:t>(обучающиеся школ).</w:t>
      </w:r>
    </w:p>
    <w:p w14:paraId="7D14C2C7" w14:textId="77777777" w:rsidR="00A94E77" w:rsidRPr="00C97E44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_GoBack"/>
      <w:bookmarkEnd w:id="12"/>
    </w:p>
    <w:p w14:paraId="2081405C" w14:textId="77777777" w:rsidR="00A94E77" w:rsidRPr="00264DE2" w:rsidRDefault="00A94E77" w:rsidP="00A94E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Вас пригласили в компанию ООО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ИБ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проведения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проактивного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лиза инцидентов информационной безоп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асности. На один из филиалов ор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ганизации была совершена кибер-атака. </w:t>
      </w:r>
    </w:p>
    <w:p w14:paraId="198ECAD6" w14:textId="77777777" w:rsidR="00A94E77" w:rsidRPr="00264DE2" w:rsidRDefault="00A94E77" w:rsidP="00A94E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 направили для расследования инцидента и восстановления </w:t>
      </w:r>
      <w:proofErr w:type="gramStart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инфра-структуры</w:t>
      </w:r>
      <w:proofErr w:type="gramEnd"/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работоспособности сети и системы филиала, восстановление картины инцидента, рекомендаций, а также составления отчета о кибер-преступлении.</w:t>
      </w:r>
    </w:p>
    <w:p w14:paraId="16083D2D" w14:textId="77777777" w:rsidR="00A94E77" w:rsidRPr="008C41F7" w:rsidRDefault="00A94E77" w:rsidP="00A94E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Задача – провести анализ произошедшей атаки, подготовить отчет о проделанной работе.</w:t>
      </w:r>
    </w:p>
    <w:p w14:paraId="551F9B1F" w14:textId="77777777" w:rsidR="00A94E77" w:rsidRPr="00D17132" w:rsidRDefault="00A94E77" w:rsidP="00A94E77">
      <w:pPr>
        <w:pStyle w:val="2"/>
        <w:spacing w:before="0" w:after="0"/>
        <w:ind w:firstLine="709"/>
        <w:jc w:val="center"/>
        <w:rPr>
          <w:rFonts w:ascii="Times New Roman" w:hAnsi="Times New Roman"/>
          <w:lang w:val="ru-RU"/>
        </w:rPr>
      </w:pPr>
      <w:bookmarkStart w:id="13" w:name="_Toc78885643"/>
      <w:bookmarkStart w:id="14" w:name="_Toc127791574"/>
      <w:bookmarkStart w:id="15" w:name="_Toc136676876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1"/>
      </w:r>
      <w:bookmarkEnd w:id="13"/>
      <w:bookmarkEnd w:id="14"/>
      <w:bookmarkEnd w:id="15"/>
    </w:p>
    <w:p w14:paraId="388EE1CF" w14:textId="77777777" w:rsidR="00A94E77" w:rsidRPr="00113E99" w:rsidRDefault="00A94E77" w:rsidP="00A94E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модуля А для каждой команды разворачиваются виртуальные стенды. Размещение стендов может быть как локальным (во внутренней локальной сети конкурсной площадки), так и на стороннем сервере с прямым доступом до стенда</w:t>
      </w: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развертывании стендов на стороннем сервере необходимо обеспечить участникам доступ только до своих стендов со своих рабочих мест. Со стендов интернет разрешен только на сайт активации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лицензий(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 необходимости)</w:t>
      </w:r>
    </w:p>
    <w:p w14:paraId="5C798B1A" w14:textId="77777777" w:rsidR="00A94E77" w:rsidRPr="00113E99" w:rsidRDefault="00A94E77" w:rsidP="00A94E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eastAsia="Times New Roman" w:hAnsi="Times New Roman" w:cs="Times New Roman"/>
          <w:sz w:val="28"/>
          <w:szCs w:val="28"/>
        </w:rPr>
        <w:t>Оценка знаний конкурсанта проводится исключительно через практическое выполнение Конкурсного задания.</w:t>
      </w:r>
    </w:p>
    <w:p w14:paraId="3DDA5A88" w14:textId="77777777" w:rsidR="00A94E77" w:rsidRPr="00113E99" w:rsidRDefault="00A94E77" w:rsidP="00A94E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должны быть сохранены с соблюдением форматов и наименований файлов и папок в соответствии с заданием и предоставлены на проверку с учетом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113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CFF76F" w14:textId="77777777" w:rsidR="00A94E77" w:rsidRPr="00113E99" w:rsidRDefault="00A94E77" w:rsidP="00A94E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времени, отведенного на выполнение модуля, участник закрывает </w:t>
      </w:r>
      <w:r>
        <w:rPr>
          <w:rFonts w:ascii="Times New Roman" w:eastAsia="Times New Roman" w:hAnsi="Times New Roman" w:cs="Times New Roman"/>
          <w:sz w:val="28"/>
          <w:szCs w:val="28"/>
        </w:rPr>
        <w:t>оставляет виртуальный стенд и машины на нем в рабочем состоянии</w:t>
      </w: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 и встает со своего рабочего места.</w:t>
      </w:r>
    </w:p>
    <w:p w14:paraId="515449F8" w14:textId="77777777" w:rsidR="00A94E77" w:rsidRDefault="00A94E77" w:rsidP="00A94E7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Проверка конкурсных работ выполняется на рабочих местах экспертных групп согласно типового ИЛ. </w:t>
      </w:r>
    </w:p>
    <w:p w14:paraId="29A6979F" w14:textId="77777777" w:rsidR="00A94E77" w:rsidRPr="00C16292" w:rsidRDefault="00A94E77" w:rsidP="00A94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7137125" w14:textId="77777777" w:rsidR="00A94E77" w:rsidRPr="00C16292" w:rsidRDefault="00A94E77" w:rsidP="00A94E77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6" w:name="_Toc78885659"/>
      <w:bookmarkStart w:id="17" w:name="_Toc127791575"/>
      <w:bookmarkStart w:id="18" w:name="_Toc136676877"/>
      <w:r w:rsidRPr="00C16292">
        <w:rPr>
          <w:rFonts w:ascii="Times New Roman" w:hAnsi="Times New Roman"/>
          <w:color w:val="000000"/>
          <w:szCs w:val="28"/>
        </w:rPr>
        <w:t xml:space="preserve">2.1. </w:t>
      </w:r>
      <w:bookmarkEnd w:id="16"/>
      <w:r w:rsidRPr="00C16292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  <w:bookmarkEnd w:id="18"/>
    </w:p>
    <w:p w14:paraId="3FE89619" w14:textId="77777777" w:rsidR="00A94E77" w:rsidRPr="00C16292" w:rsidRDefault="00A94E77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292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58D30816" w14:textId="77777777" w:rsidR="00A94E77" w:rsidRPr="00C16292" w:rsidRDefault="00A94E77" w:rsidP="00A94E77">
      <w:pPr>
        <w:pStyle w:val="3"/>
        <w:spacing w:before="0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9" w:name="_Toc78885660"/>
      <w:r w:rsidRPr="00C16292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C16292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C16292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9"/>
    </w:p>
    <w:p w14:paraId="32EA0704" w14:textId="77777777" w:rsidR="00A94E77" w:rsidRPr="00C16292" w:rsidRDefault="00A94E77" w:rsidP="00A94E77">
      <w:pPr>
        <w:spacing w:after="0" w:line="360" w:lineRule="auto"/>
        <w:jc w:val="both"/>
        <w:rPr>
          <w:rFonts w:ascii="Times New Roman" w:eastAsia="Times New Roman" w:hAnsi="Times New Roman" w:cs="Times New Roman"/>
          <w:sz w:val="40"/>
          <w:szCs w:val="28"/>
        </w:rPr>
      </w:pPr>
      <w:r w:rsidRPr="00C16292">
        <w:rPr>
          <w:rFonts w:ascii="Times New Roman" w:eastAsia="Times New Roman" w:hAnsi="Times New Roman" w:cs="Times New Roman"/>
          <w:sz w:val="28"/>
          <w:szCs w:val="20"/>
        </w:rPr>
        <w:t>Участникам во время выполнения конкурсного задания запрещено использовать сотовые телефоны, ноутбуки, планшеты, смарт часы и средства интернет ресурсов</w:t>
      </w:r>
    </w:p>
    <w:p w14:paraId="571BE1D1" w14:textId="77777777" w:rsidR="00A94E77" w:rsidRDefault="00A94E77" w:rsidP="00A94E77">
      <w:pPr>
        <w:pStyle w:val="-1"/>
        <w:spacing w:before="0"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0" w:name="_Toc127791576"/>
      <w:bookmarkStart w:id="21" w:name="_Toc136676878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0"/>
      <w:bookmarkEnd w:id="21"/>
    </w:p>
    <w:p w14:paraId="63B3060F" w14:textId="77777777" w:rsidR="00A94E77" w:rsidRDefault="00A94E77" w:rsidP="00A94E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65FC664E" w14:textId="77777777" w:rsidR="00A94E77" w:rsidRDefault="00A94E77" w:rsidP="00A94E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1EEDBE04" w14:textId="77777777" w:rsidR="00A94E77" w:rsidRDefault="00A94E77" w:rsidP="00A94E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14:paraId="219F66B6" w14:textId="77777777" w:rsidR="00A94E77" w:rsidRDefault="00A94E77" w:rsidP="00A94E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«Информационная безопасность».</w:t>
      </w:r>
    </w:p>
    <w:p w14:paraId="2176CADD" w14:textId="77777777" w:rsidR="002B3DBB" w:rsidRDefault="002B3DBB" w:rsidP="00A94E7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49F0DD" w14:textId="77777777" w:rsidR="002B3DBB" w:rsidRDefault="002B3DBB" w:rsidP="00A94E7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7777777" w:rsidR="002B3DBB" w:rsidRDefault="002B3DBB" w:rsidP="00A94E7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98CDF" w14:textId="77777777" w:rsidR="0034631E" w:rsidRDefault="0034631E" w:rsidP="00970F49">
      <w:pPr>
        <w:spacing w:after="0" w:line="240" w:lineRule="auto"/>
      </w:pPr>
      <w:r>
        <w:separator/>
      </w:r>
    </w:p>
  </w:endnote>
  <w:endnote w:type="continuationSeparator" w:id="0">
    <w:p w14:paraId="47F92D5D" w14:textId="77777777" w:rsidR="0034631E" w:rsidRDefault="0034631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0974B" w14:textId="77777777" w:rsidR="0034631E" w:rsidRDefault="0034631E" w:rsidP="00970F49">
      <w:pPr>
        <w:spacing w:after="0" w:line="240" w:lineRule="auto"/>
      </w:pPr>
      <w:r>
        <w:separator/>
      </w:r>
    </w:p>
  </w:footnote>
  <w:footnote w:type="continuationSeparator" w:id="0">
    <w:p w14:paraId="59A481EA" w14:textId="77777777" w:rsidR="0034631E" w:rsidRDefault="0034631E" w:rsidP="00970F49">
      <w:pPr>
        <w:spacing w:after="0" w:line="240" w:lineRule="auto"/>
      </w:pPr>
      <w:r>
        <w:continuationSeparator/>
      </w:r>
    </w:p>
  </w:footnote>
  <w:footnote w:id="1">
    <w:p w14:paraId="7B3423FD" w14:textId="77777777" w:rsidR="00A94E77" w:rsidRDefault="00A94E77" w:rsidP="00A94E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6061FD"/>
    <w:multiLevelType w:val="hybridMultilevel"/>
    <w:tmpl w:val="0564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8013BBD"/>
    <w:multiLevelType w:val="hybridMultilevel"/>
    <w:tmpl w:val="ECF62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4"/>
  </w:num>
  <w:num w:numId="23">
    <w:abstractNumId w:val="8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3AD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4631E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3783"/>
    <w:rsid w:val="00A0510D"/>
    <w:rsid w:val="00A11569"/>
    <w:rsid w:val="00A204BB"/>
    <w:rsid w:val="00A20A67"/>
    <w:rsid w:val="00A27EE4"/>
    <w:rsid w:val="00A36EE2"/>
    <w:rsid w:val="00A57976"/>
    <w:rsid w:val="00A636B8"/>
    <w:rsid w:val="00A8496D"/>
    <w:rsid w:val="00A85D42"/>
    <w:rsid w:val="00A87627"/>
    <w:rsid w:val="00A91D4B"/>
    <w:rsid w:val="00A94E77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1CA1"/>
    <w:rsid w:val="00C52383"/>
    <w:rsid w:val="00C536BA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7480-B9BF-47D5-A715-5A43CF86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2292</Words>
  <Characters>13070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ФИРПО</dc:creator>
  <cp:lastModifiedBy>user</cp:lastModifiedBy>
  <cp:revision>3</cp:revision>
  <dcterms:created xsi:type="dcterms:W3CDTF">2023-06-03T06:34:00Z</dcterms:created>
  <dcterms:modified xsi:type="dcterms:W3CDTF">2023-06-14T09:14:00Z</dcterms:modified>
</cp:coreProperties>
</file>