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RPr="00E61197" w:rsidTr="003433C6">
        <w:tc>
          <w:tcPr>
            <w:tcW w:w="5670" w:type="dxa"/>
          </w:tcPr>
          <w:p w:rsidR="00666BDD" w:rsidRPr="00E61197" w:rsidRDefault="00666BDD" w:rsidP="003433C6">
            <w:pPr>
              <w:pStyle w:val="af1"/>
              <w:rPr>
                <w:rFonts w:ascii="Times New Roman" w:hAnsi="Times New Roman"/>
                <w:sz w:val="30"/>
              </w:rPr>
            </w:pPr>
            <w:r w:rsidRPr="00E61197">
              <w:rPr>
                <w:rFonts w:ascii="Times New Roman" w:hAnsi="Times New Roman"/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Pr="00E61197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Pr="00E61197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B610A2" w:rsidRPr="00E61197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E61197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E61197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E61197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E61197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B61010" w:rsidRPr="00E61197" w:rsidRDefault="00B61010" w:rsidP="00B61010">
          <w:pPr>
            <w:jc w:val="center"/>
            <w:rPr>
              <w:rFonts w:ascii="Times New Roman" w:eastAsia="Times New Roman" w:hAnsi="Times New Roman" w:cs="Times New Roman"/>
              <w:color w:val="000000" w:themeColor="text1"/>
              <w:sz w:val="72"/>
            </w:rPr>
          </w:pPr>
          <w:r w:rsidRPr="00E61197">
            <w:rPr>
              <w:rFonts w:ascii="Times New Roman" w:eastAsia="Times New Roman" w:hAnsi="Times New Roman" w:cs="Times New Roman"/>
              <w:color w:val="000000" w:themeColor="text1"/>
              <w:sz w:val="72"/>
            </w:rPr>
            <w:t>«АДМИНИСТРИРОВАНИЕ ОТЕЛЯ»</w:t>
          </w:r>
        </w:p>
        <w:p w:rsidR="00334165" w:rsidRPr="00E61197" w:rsidRDefault="00724B6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Pr="00E61197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Pr="00E61197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Pr="00E61197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61197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61197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E61197">
        <w:rPr>
          <w:rFonts w:ascii="Times New Roman" w:hAnsi="Times New Roman" w:cs="Times New Roman"/>
          <w:lang w:bidi="en-US"/>
        </w:rPr>
        <w:t>г</w:t>
      </w:r>
      <w:proofErr w:type="gramStart"/>
      <w:r w:rsidRPr="00E61197">
        <w:rPr>
          <w:rFonts w:ascii="Times New Roman" w:hAnsi="Times New Roman" w:cs="Times New Roman"/>
          <w:lang w:bidi="en-US"/>
        </w:rPr>
        <w:t>.</w:t>
      </w:r>
      <w:r w:rsidR="00B61010" w:rsidRPr="00E61197">
        <w:rPr>
          <w:rFonts w:ascii="Times New Roman" w:hAnsi="Times New Roman" w:cs="Times New Roman"/>
          <w:lang w:bidi="en-US"/>
        </w:rPr>
        <w:t>Т</w:t>
      </w:r>
      <w:proofErr w:type="gramEnd"/>
      <w:r w:rsidR="00B61010" w:rsidRPr="00E61197">
        <w:rPr>
          <w:rFonts w:ascii="Times New Roman" w:hAnsi="Times New Roman" w:cs="Times New Roman"/>
          <w:lang w:bidi="en-US"/>
        </w:rPr>
        <w:t xml:space="preserve">юмень, </w:t>
      </w:r>
      <w:r w:rsidR="00666BDD" w:rsidRPr="00E61197">
        <w:rPr>
          <w:rFonts w:ascii="Times New Roman" w:hAnsi="Times New Roman" w:cs="Times New Roman"/>
          <w:lang w:bidi="en-US"/>
        </w:rPr>
        <w:t>2023</w:t>
      </w:r>
    </w:p>
    <w:p w:rsidR="00557CC0" w:rsidRPr="00E61197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9955F8" w:rsidRPr="00E61197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61197"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 w:rsidRPr="00E6119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E61197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E6119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E61197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E61197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E6119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E6119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E61197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E61197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E61197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E61197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E61197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E61197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E61197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E6119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E61197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AA2B8A" w:rsidRPr="00E61197" w:rsidRDefault="00AA2B8A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1010" w:rsidRPr="00E61197" w:rsidRDefault="00B61010" w:rsidP="00B610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1197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B61010" w:rsidRPr="00E61197" w:rsidRDefault="00724B6E" w:rsidP="00B61010">
      <w:pPr>
        <w:pStyle w:val="25"/>
        <w:rPr>
          <w:rFonts w:eastAsiaTheme="minorEastAsia"/>
          <w:noProof/>
          <w:szCs w:val="22"/>
        </w:rPr>
      </w:pPr>
      <w:r w:rsidRPr="00724B6E">
        <w:rPr>
          <w:sz w:val="28"/>
          <w:szCs w:val="24"/>
        </w:rPr>
        <w:fldChar w:fldCharType="begin"/>
      </w:r>
      <w:r w:rsidR="00B61010" w:rsidRPr="00E61197">
        <w:rPr>
          <w:szCs w:val="24"/>
        </w:rPr>
        <w:instrText xml:space="preserve"> TOC \o "1-2" \h \z \u </w:instrText>
      </w:r>
      <w:r w:rsidRPr="00724B6E">
        <w:rPr>
          <w:sz w:val="28"/>
          <w:szCs w:val="24"/>
        </w:rPr>
        <w:fldChar w:fldCharType="separate"/>
      </w:r>
      <w:hyperlink w:anchor="_Toc126654131" w:history="1">
        <w:r w:rsidR="00B61010" w:rsidRPr="00E61197">
          <w:rPr>
            <w:rStyle w:val="ae"/>
            <w:noProof/>
          </w:rPr>
          <w:t>1.1. ОБЩИЕ СВЕДЕНИЯ О ТРЕБОВАНИЯХ КОМПЕТЕНЦИИ</w:t>
        </w:r>
        <w:r w:rsidR="00B61010" w:rsidRPr="00E61197">
          <w:rPr>
            <w:noProof/>
            <w:webHidden/>
          </w:rPr>
          <w:tab/>
        </w:r>
        <w:r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_Toc126654131 \h </w:instrText>
        </w:r>
        <w:r w:rsidRPr="00E61197">
          <w:rPr>
            <w:noProof/>
            <w:webHidden/>
          </w:rPr>
        </w:r>
        <w:r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4</w:t>
        </w:r>
        <w:r w:rsidRPr="00E61197">
          <w:rPr>
            <w:noProof/>
            <w:webHidden/>
          </w:rPr>
          <w:fldChar w:fldCharType="end"/>
        </w:r>
      </w:hyperlink>
    </w:p>
    <w:p w:rsidR="00B61010" w:rsidRPr="00E61197" w:rsidRDefault="00724B6E" w:rsidP="00B61010">
      <w:pPr>
        <w:pStyle w:val="25"/>
        <w:rPr>
          <w:rFonts w:eastAsiaTheme="minorEastAsia"/>
          <w:noProof/>
          <w:szCs w:val="22"/>
        </w:rPr>
      </w:pPr>
      <w:hyperlink w:anchor="_Toc126654132" w:history="1">
        <w:r w:rsidR="00B61010" w:rsidRPr="00E61197">
          <w:rPr>
            <w:rStyle w:val="ae"/>
            <w:noProof/>
          </w:rPr>
          <w:t>1.2. ПЕРЕЧЕНЬ ПРОФЕССИОНАЛЬНЫХ ЗАДАЧ СПЕЦИАЛИСТА ПО КОМПЕТЕНЦИИ «АДМИНИСТРИРОВАНИЕ ОТЕЛЯ»</w:t>
        </w:r>
        <w:r w:rsidR="00B61010" w:rsidRPr="00E61197">
          <w:rPr>
            <w:noProof/>
            <w:webHidden/>
          </w:rPr>
          <w:tab/>
        </w:r>
        <w:r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_Toc126654132 \h </w:instrText>
        </w:r>
        <w:r w:rsidRPr="00E61197">
          <w:rPr>
            <w:noProof/>
            <w:webHidden/>
          </w:rPr>
        </w:r>
        <w:r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4</w:t>
        </w:r>
        <w:r w:rsidRPr="00E61197">
          <w:rPr>
            <w:noProof/>
            <w:webHidden/>
          </w:rPr>
          <w:fldChar w:fldCharType="end"/>
        </w:r>
      </w:hyperlink>
    </w:p>
    <w:p w:rsidR="00B61010" w:rsidRPr="00E61197" w:rsidRDefault="00724B6E" w:rsidP="00B61010">
      <w:pPr>
        <w:pStyle w:val="25"/>
        <w:rPr>
          <w:rFonts w:eastAsiaTheme="minorEastAsia"/>
          <w:noProof/>
          <w:szCs w:val="22"/>
        </w:rPr>
      </w:pPr>
      <w:hyperlink w:anchor="_Toc126654133" w:history="1">
        <w:r w:rsidR="00B61010" w:rsidRPr="00E61197">
          <w:rPr>
            <w:rStyle w:val="ae"/>
            <w:noProof/>
          </w:rPr>
          <w:t>1.3. ТРЕБОВАНИЯ К СХЕМЕ ОЦЕНКИ</w:t>
        </w:r>
        <w:r w:rsidR="00B61010" w:rsidRPr="00E61197">
          <w:rPr>
            <w:noProof/>
            <w:webHidden/>
          </w:rPr>
          <w:tab/>
        </w:r>
        <w:r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_Toc126654133 \h </w:instrText>
        </w:r>
        <w:r w:rsidRPr="00E61197">
          <w:rPr>
            <w:noProof/>
            <w:webHidden/>
          </w:rPr>
        </w:r>
        <w:r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11</w:t>
        </w:r>
        <w:r w:rsidRPr="00E61197">
          <w:rPr>
            <w:noProof/>
            <w:webHidden/>
          </w:rPr>
          <w:fldChar w:fldCharType="end"/>
        </w:r>
      </w:hyperlink>
    </w:p>
    <w:p w:rsidR="00B61010" w:rsidRPr="00E61197" w:rsidRDefault="00724B6E" w:rsidP="00B61010">
      <w:pPr>
        <w:pStyle w:val="25"/>
        <w:rPr>
          <w:rFonts w:eastAsiaTheme="minorEastAsia"/>
          <w:noProof/>
          <w:szCs w:val="22"/>
        </w:rPr>
      </w:pPr>
      <w:hyperlink w:anchor="_Toc126654134" w:history="1">
        <w:r w:rsidR="00B61010" w:rsidRPr="00E61197">
          <w:rPr>
            <w:rStyle w:val="ae"/>
            <w:noProof/>
          </w:rPr>
          <w:t>1.4. СПЕЦИФИКАЦИЯ ОЦЕНКИ КОМПЕТЕНЦИИ</w:t>
        </w:r>
        <w:r w:rsidR="00B61010" w:rsidRPr="00E61197">
          <w:rPr>
            <w:noProof/>
            <w:webHidden/>
          </w:rPr>
          <w:tab/>
        </w:r>
        <w:r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_Toc126654134 \h </w:instrText>
        </w:r>
        <w:r w:rsidRPr="00E61197">
          <w:rPr>
            <w:noProof/>
            <w:webHidden/>
          </w:rPr>
        </w:r>
        <w:r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11</w:t>
        </w:r>
        <w:r w:rsidRPr="00E61197">
          <w:rPr>
            <w:noProof/>
            <w:webHidden/>
          </w:rPr>
          <w:fldChar w:fldCharType="end"/>
        </w:r>
      </w:hyperlink>
    </w:p>
    <w:p w:rsidR="00B61010" w:rsidRPr="00E61197" w:rsidRDefault="00724B6E" w:rsidP="00B61010">
      <w:pPr>
        <w:pStyle w:val="25"/>
        <w:rPr>
          <w:rFonts w:eastAsiaTheme="minorEastAsia"/>
          <w:noProof/>
          <w:szCs w:val="22"/>
        </w:rPr>
      </w:pPr>
      <w:hyperlink w:anchor="_Toc126654135" w:history="1">
        <w:r w:rsidR="00B61010" w:rsidRPr="00E61197">
          <w:rPr>
            <w:rStyle w:val="ae"/>
            <w:noProof/>
          </w:rPr>
          <w:t>1.5. КОНКУРСНОЕ ЗАДАНИЕ</w:t>
        </w:r>
        <w:r w:rsidR="00B61010" w:rsidRPr="00E61197">
          <w:rPr>
            <w:noProof/>
            <w:webHidden/>
          </w:rPr>
          <w:tab/>
        </w:r>
        <w:r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_Toc126654135 \h </w:instrText>
        </w:r>
        <w:r w:rsidRPr="00E61197">
          <w:rPr>
            <w:noProof/>
            <w:webHidden/>
          </w:rPr>
        </w:r>
        <w:r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13</w:t>
        </w:r>
        <w:r w:rsidRPr="00E61197">
          <w:rPr>
            <w:noProof/>
            <w:webHidden/>
          </w:rPr>
          <w:fldChar w:fldCharType="end"/>
        </w:r>
      </w:hyperlink>
    </w:p>
    <w:p w:rsidR="00B61010" w:rsidRPr="00E61197" w:rsidRDefault="00724B6E" w:rsidP="00B61010">
      <w:pPr>
        <w:pStyle w:val="25"/>
        <w:rPr>
          <w:rFonts w:eastAsiaTheme="minorEastAsia"/>
          <w:noProof/>
          <w:szCs w:val="22"/>
        </w:rPr>
      </w:pPr>
      <w:hyperlink w:anchor="_Toc126654136" w:history="1">
        <w:r w:rsidR="00B61010" w:rsidRPr="00E61197">
          <w:rPr>
            <w:rStyle w:val="ae"/>
            <w:noProof/>
          </w:rPr>
          <w:t>1.5.1. Разработка/выбор конкурсного задания</w:t>
        </w:r>
        <w:r w:rsidR="00B61010" w:rsidRPr="00E61197">
          <w:rPr>
            <w:noProof/>
            <w:webHidden/>
          </w:rPr>
          <w:tab/>
        </w:r>
        <w:r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_Toc126654136 \h </w:instrText>
        </w:r>
        <w:r w:rsidRPr="00E61197">
          <w:rPr>
            <w:noProof/>
            <w:webHidden/>
          </w:rPr>
        </w:r>
        <w:r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13</w:t>
        </w:r>
        <w:r w:rsidRPr="00E61197">
          <w:rPr>
            <w:noProof/>
            <w:webHidden/>
          </w:rPr>
          <w:fldChar w:fldCharType="end"/>
        </w:r>
      </w:hyperlink>
    </w:p>
    <w:p w:rsidR="00B61010" w:rsidRPr="00E61197" w:rsidRDefault="00724B6E" w:rsidP="00B61010">
      <w:pPr>
        <w:pStyle w:val="25"/>
        <w:rPr>
          <w:rFonts w:eastAsiaTheme="minorEastAsia"/>
          <w:noProof/>
          <w:szCs w:val="22"/>
        </w:rPr>
      </w:pPr>
      <w:hyperlink w:anchor="_Toc126654137" w:history="1">
        <w:r w:rsidR="00B61010" w:rsidRPr="00E61197">
          <w:rPr>
            <w:rStyle w:val="ae"/>
            <w:noProof/>
          </w:rPr>
          <w:t>1.5.2. Структура модулей конкурсного задания (инвариант/вариатив).</w:t>
        </w:r>
        <w:r w:rsidR="00B61010" w:rsidRPr="00E61197">
          <w:rPr>
            <w:noProof/>
            <w:webHidden/>
          </w:rPr>
          <w:tab/>
        </w:r>
        <w:r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_Toc126654137 \h </w:instrText>
        </w:r>
        <w:r w:rsidRPr="00E61197">
          <w:rPr>
            <w:noProof/>
            <w:webHidden/>
          </w:rPr>
        </w:r>
        <w:r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14</w:t>
        </w:r>
        <w:r w:rsidRPr="00E61197">
          <w:rPr>
            <w:noProof/>
            <w:webHidden/>
          </w:rPr>
          <w:fldChar w:fldCharType="end"/>
        </w:r>
      </w:hyperlink>
    </w:p>
    <w:p w:rsidR="00B61010" w:rsidRPr="00E61197" w:rsidRDefault="00724B6E" w:rsidP="00B61010">
      <w:pPr>
        <w:pStyle w:val="25"/>
        <w:rPr>
          <w:rFonts w:eastAsiaTheme="minorEastAsia"/>
          <w:noProof/>
          <w:szCs w:val="22"/>
        </w:rPr>
      </w:pPr>
      <w:hyperlink w:anchor="_Toc126654138" w:history="1">
        <w:r w:rsidR="00B61010" w:rsidRPr="00E61197">
          <w:rPr>
            <w:rStyle w:val="ae"/>
            <w:noProof/>
          </w:rPr>
          <w:t>2. СПЕЦИАЛЬНЫЕ ПРАВИЛА КОМПЕТЕНЦИИ</w:t>
        </w:r>
        <w:r w:rsidR="00B61010" w:rsidRPr="00E61197">
          <w:rPr>
            <w:noProof/>
            <w:webHidden/>
          </w:rPr>
          <w:tab/>
        </w:r>
        <w:r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_Toc126654138 \h </w:instrText>
        </w:r>
        <w:r w:rsidRPr="00E61197">
          <w:rPr>
            <w:noProof/>
            <w:webHidden/>
          </w:rPr>
        </w:r>
        <w:r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15</w:t>
        </w:r>
        <w:r w:rsidRPr="00E61197">
          <w:rPr>
            <w:noProof/>
            <w:webHidden/>
          </w:rPr>
          <w:fldChar w:fldCharType="end"/>
        </w:r>
      </w:hyperlink>
    </w:p>
    <w:p w:rsidR="00B61010" w:rsidRPr="00E61197" w:rsidRDefault="00724B6E" w:rsidP="00B61010">
      <w:pPr>
        <w:pStyle w:val="25"/>
        <w:rPr>
          <w:rFonts w:eastAsiaTheme="minorEastAsia"/>
          <w:noProof/>
          <w:szCs w:val="22"/>
        </w:rPr>
      </w:pPr>
      <w:hyperlink w:anchor="_Toc126654139" w:history="1">
        <w:r w:rsidR="00B61010" w:rsidRPr="00E61197">
          <w:rPr>
            <w:rStyle w:val="ae"/>
            <w:caps/>
            <w:noProof/>
          </w:rPr>
          <w:t>2.1. Личный инструмент конкурсанта.</w:t>
        </w:r>
        <w:r w:rsidR="00B61010" w:rsidRPr="00E61197">
          <w:rPr>
            <w:noProof/>
            <w:webHidden/>
          </w:rPr>
          <w:tab/>
        </w:r>
        <w:r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_Toc126654139 \h </w:instrText>
        </w:r>
        <w:r w:rsidRPr="00E61197">
          <w:rPr>
            <w:noProof/>
            <w:webHidden/>
          </w:rPr>
        </w:r>
        <w:r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18</w:t>
        </w:r>
        <w:r w:rsidRPr="00E61197">
          <w:rPr>
            <w:noProof/>
            <w:webHidden/>
          </w:rPr>
          <w:fldChar w:fldCharType="end"/>
        </w:r>
      </w:hyperlink>
    </w:p>
    <w:p w:rsidR="00B61010" w:rsidRPr="00E61197" w:rsidRDefault="00724B6E" w:rsidP="00B61010">
      <w:pPr>
        <w:pStyle w:val="25"/>
        <w:rPr>
          <w:rFonts w:eastAsiaTheme="minorEastAsia"/>
          <w:noProof/>
          <w:szCs w:val="22"/>
        </w:rPr>
      </w:pPr>
      <w:hyperlink w:anchor="_Toc126654141" w:history="1">
        <w:r w:rsidR="00B61010" w:rsidRPr="00E61197">
          <w:rPr>
            <w:rStyle w:val="ae"/>
            <w:noProof/>
          </w:rPr>
          <w:t>3. Приложения</w:t>
        </w:r>
        <w:r w:rsidR="00B61010" w:rsidRPr="00E61197">
          <w:rPr>
            <w:noProof/>
            <w:webHidden/>
          </w:rPr>
          <w:tab/>
        </w:r>
        <w:r w:rsidRPr="00E61197">
          <w:rPr>
            <w:noProof/>
            <w:webHidden/>
          </w:rPr>
          <w:fldChar w:fldCharType="begin"/>
        </w:r>
        <w:r w:rsidR="00B61010" w:rsidRPr="00E61197">
          <w:rPr>
            <w:noProof/>
            <w:webHidden/>
          </w:rPr>
          <w:instrText xml:space="preserve"> PAGEREF _Toc126654141 \h </w:instrText>
        </w:r>
        <w:r w:rsidRPr="00E61197">
          <w:rPr>
            <w:noProof/>
            <w:webHidden/>
          </w:rPr>
        </w:r>
        <w:r w:rsidRPr="00E61197">
          <w:rPr>
            <w:noProof/>
            <w:webHidden/>
          </w:rPr>
          <w:fldChar w:fldCharType="separate"/>
        </w:r>
        <w:r w:rsidR="00B61010" w:rsidRPr="00E61197">
          <w:rPr>
            <w:noProof/>
            <w:webHidden/>
          </w:rPr>
          <w:t>19</w:t>
        </w:r>
        <w:r w:rsidRPr="00E61197">
          <w:rPr>
            <w:noProof/>
            <w:webHidden/>
          </w:rPr>
          <w:fldChar w:fldCharType="end"/>
        </w:r>
      </w:hyperlink>
    </w:p>
    <w:p w:rsidR="00AA2B8A" w:rsidRPr="00E61197" w:rsidRDefault="00724B6E" w:rsidP="00B6101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61197">
        <w:rPr>
          <w:rFonts w:ascii="Times New Roman" w:hAnsi="Times New Roman"/>
          <w:bCs/>
          <w:sz w:val="24"/>
        </w:rPr>
        <w:fldChar w:fldCharType="end"/>
      </w:r>
    </w:p>
    <w:p w:rsidR="00AA2B8A" w:rsidRPr="00E61197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E61197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E61197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E61197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E61197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E61197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E61197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E61197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1010" w:rsidRPr="00E61197" w:rsidRDefault="00B61010" w:rsidP="00B6101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6119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 И ТЕРМИНЫ</w:t>
      </w:r>
    </w:p>
    <w:p w:rsidR="00B61010" w:rsidRPr="00E61197" w:rsidRDefault="00B61010" w:rsidP="00B61010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Фронт-офис (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front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office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департаменты отеля, непосредственно контактирующие с гостями.</w:t>
      </w:r>
    </w:p>
    <w:p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Бэк-офис</w:t>
      </w:r>
      <w:proofErr w:type="spellEnd"/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back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office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внутренние отделы отеля, не контактирующие напрямую с гостями.</w:t>
      </w:r>
    </w:p>
    <w:p w:rsidR="00B61010" w:rsidRPr="00E61197" w:rsidRDefault="00B61010" w:rsidP="00B61010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АСУ (автоматическая система управления) - 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>система, использующаяся для управления отелем. При помощи данной системы владелец и его подчиненные могут оперативно управлять номерным фондом, осуществлять бронирование, а также контролировать загрузку.</w:t>
      </w:r>
    </w:p>
    <w:p w:rsidR="00B61010" w:rsidRPr="00E61197" w:rsidRDefault="00B61010" w:rsidP="00B610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Апсейл</w:t>
      </w:r>
      <w:proofErr w:type="spellEnd"/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</w:t>
      </w:r>
      <w:proofErr w:type="spellStart"/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p-sale</w:t>
      </w:r>
      <w:proofErr w:type="spellEnd"/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-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продаж. Основная цель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апсейла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— увеличить сумму покупки, увеличить оборот. Одна из наиболее простых и в то же время эффективных техник увеличения продаж.</w:t>
      </w:r>
    </w:p>
    <w:p w:rsidR="00B61010" w:rsidRPr="00E61197" w:rsidRDefault="00B61010" w:rsidP="00B6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Кросс-сейл</w:t>
      </w:r>
      <w:proofErr w:type="spellEnd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ross</w:t>
      </w:r>
      <w:proofErr w:type="spellEnd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sale</w:t>
      </w:r>
      <w:proofErr w:type="spellEnd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перекрестные продажи. Это техника продаж гостю дополнительных, сопутствующих или взаимосвязанных услуг других структурных подразделений отеля.</w:t>
      </w:r>
    </w:p>
    <w:p w:rsidR="00B61010" w:rsidRPr="00E61197" w:rsidRDefault="00B61010" w:rsidP="00B61010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Расчетный час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Время, установленное отелем для заезда и выезда гостя.</w:t>
      </w:r>
    </w:p>
    <w:p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СПиР</w:t>
      </w:r>
      <w:proofErr w:type="spellEnd"/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с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лужба приема и размещения отеля. Может иметь в своем составе службы: консьерж (</w:t>
      </w:r>
      <w:proofErr w:type="spellStart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Bell</w:t>
      </w:r>
      <w:proofErr w:type="spell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Desk</w:t>
      </w:r>
      <w:proofErr w:type="spell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бронирование, ресепшн, телефонные операторы, бизнес-центр и </w:t>
      </w:r>
      <w:proofErr w:type="spellStart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Guest</w:t>
      </w:r>
      <w:proofErr w:type="spell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Relation</w:t>
      </w:r>
      <w:proofErr w:type="spell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1197">
        <w:rPr>
          <w:rStyle w:val="aff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Guest</w:t>
      </w:r>
      <w:proofErr w:type="spellEnd"/>
      <w:r w:rsidRPr="00E61197">
        <w:rPr>
          <w:rStyle w:val="aff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61197">
        <w:rPr>
          <w:rStyle w:val="aff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Relation</w:t>
      </w:r>
      <w:proofErr w:type="spellEnd"/>
      <w:r w:rsidRPr="00E61197">
        <w:rPr>
          <w:rFonts w:ascii="Times New Roman" w:hAnsi="Times New Roman" w:cs="Times New Roman"/>
          <w:sz w:val="28"/>
          <w:szCs w:val="28"/>
          <w:shd w:val="clear" w:color="auto" w:fill="FFFFFF"/>
        </w:rPr>
        <w:t> – отдел, специализирующийся на персонализированном сервисе.</w:t>
      </w:r>
    </w:p>
    <w:p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Гарантированное бронирование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бронирования, при котором отель ожидает потребителя до расчетного часа дня, следующего за днем запланированного заезда. В случае несвоевременного отказа от бронирования, опоздания или </w:t>
      </w:r>
      <w:proofErr w:type="spellStart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незаезда</w:t>
      </w:r>
      <w:proofErr w:type="spell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гостя, с него взимается плата за простой номера, но не более чем за сутки. При опоздании более чем на сутки гарантированное бронирование аннулируется</w:t>
      </w:r>
    </w:p>
    <w:p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Негарантированное бронирование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бронирования, при котором отель ожидает гостя до определенного часа, установленного отелем, в день заезда, после чего бронирование аннулируется</w:t>
      </w:r>
    </w:p>
    <w:p w:rsidR="00B61010" w:rsidRPr="00E61197" w:rsidRDefault="00B61010" w:rsidP="00B61010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1197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Walk-in</w:t>
      </w:r>
      <w:proofErr w:type="spellEnd"/>
      <w:r w:rsidRPr="00E61197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</w:t>
      </w:r>
      <w:r w:rsidRPr="00E6119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 </w:t>
      </w:r>
      <w:r w:rsidRPr="00E6119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гость, прибывший в отель без предварительного бронирования, и размещающийся сразу по прибытию</w:t>
      </w:r>
      <w:r w:rsidRPr="00E6119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Счет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предоставляемый отелем гостю и содержащий перечень товаров и услуг, их количество и цену</w:t>
      </w:r>
    </w:p>
    <w:p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Информационный счет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счет, предоставляемый гостю для проверки корректности начислений до проведения оплаты</w:t>
      </w:r>
    </w:p>
    <w:p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Фискальный чек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чек, который продавец формирует на </w:t>
      </w:r>
      <w:proofErr w:type="spellStart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онлайн-кассе</w:t>
      </w:r>
      <w:proofErr w:type="spell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передачи покупателю или клиенту. 54-ФЗ обязывает продавцов выдавать покупателям и клиентам фискальные чеки</w:t>
      </w:r>
    </w:p>
    <w:p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Слип-чек с электронного терминала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гостям, которые в качестве средства оплаты используют банковские карты. Этот платежный документ оформляет электронный терминал.</w:t>
      </w:r>
    </w:p>
    <w:p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Регистрационная форма -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между гостем и отелем, подтверждающий вид размещения, продолжительность проживания и стоимость номера.</w:t>
      </w:r>
    </w:p>
    <w:p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ФКП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61197">
        <w:rPr>
          <w:rFonts w:ascii="Times New Roman" w:hAnsi="Times New Roman" w:cs="Times New Roman"/>
          <w:sz w:val="28"/>
          <w:szCs w:val="28"/>
        </w:rPr>
        <w:t>финансово-кредитная политика.</w:t>
      </w:r>
    </w:p>
    <w:p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BB</w:t>
      </w:r>
      <w:r w:rsidRPr="00E6119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Bed</w:t>
      </w:r>
      <w:r w:rsidRPr="00E61197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Breakfast</w:t>
      </w:r>
      <w:r w:rsidRPr="00E61197">
        <w:rPr>
          <w:rFonts w:ascii="Times New Roman" w:hAnsi="Times New Roman" w:cs="Times New Roman"/>
          <w:b/>
          <w:sz w:val="28"/>
          <w:szCs w:val="28"/>
        </w:rPr>
        <w:t>)</w:t>
      </w:r>
      <w:r w:rsidRPr="00E61197">
        <w:rPr>
          <w:rFonts w:ascii="Times New Roman" w:hAnsi="Times New Roman" w:cs="Times New Roman"/>
          <w:sz w:val="28"/>
          <w:szCs w:val="28"/>
        </w:rPr>
        <w:t xml:space="preserve"> – тип питания, включающий только завтрак.</w:t>
      </w:r>
    </w:p>
    <w:p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HB</w:t>
      </w:r>
      <w:r w:rsidRPr="00E6119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half</w:t>
      </w:r>
      <w:r w:rsidRPr="00E61197">
        <w:rPr>
          <w:rFonts w:ascii="Times New Roman" w:hAnsi="Times New Roman" w:cs="Times New Roman"/>
          <w:b/>
          <w:sz w:val="28"/>
          <w:szCs w:val="28"/>
        </w:rPr>
        <w:t>-</w:t>
      </w: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board</w:t>
      </w:r>
      <w:r w:rsidRPr="00E61197">
        <w:rPr>
          <w:rFonts w:ascii="Times New Roman" w:hAnsi="Times New Roman" w:cs="Times New Roman"/>
          <w:b/>
          <w:sz w:val="28"/>
          <w:szCs w:val="28"/>
        </w:rPr>
        <w:t xml:space="preserve">) – </w:t>
      </w:r>
      <w:proofErr w:type="spellStart"/>
      <w:r w:rsidRPr="00E61197">
        <w:rPr>
          <w:rFonts w:ascii="Times New Roman" w:hAnsi="Times New Roman" w:cs="Times New Roman"/>
          <w:b/>
          <w:sz w:val="28"/>
          <w:szCs w:val="28"/>
        </w:rPr>
        <w:t>полупансион</w:t>
      </w:r>
      <w:proofErr w:type="spellEnd"/>
      <w:r w:rsidRPr="00E6119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61197">
        <w:rPr>
          <w:rFonts w:ascii="Times New Roman" w:hAnsi="Times New Roman" w:cs="Times New Roman"/>
          <w:sz w:val="28"/>
          <w:szCs w:val="28"/>
        </w:rPr>
        <w:t>тип питания, включающий завтрак и обед или завтрак и ужин.</w:t>
      </w:r>
      <w:proofErr w:type="gramEnd"/>
    </w:p>
    <w:p w:rsidR="00B61010" w:rsidRPr="00E61197" w:rsidRDefault="00B61010" w:rsidP="00B6101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FB</w:t>
      </w:r>
      <w:r w:rsidRPr="00E6119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full</w:t>
      </w:r>
      <w:r w:rsidRPr="00E61197">
        <w:rPr>
          <w:rFonts w:ascii="Times New Roman" w:hAnsi="Times New Roman" w:cs="Times New Roman"/>
          <w:b/>
          <w:sz w:val="28"/>
          <w:szCs w:val="28"/>
        </w:rPr>
        <w:t>-</w:t>
      </w:r>
      <w:r w:rsidRPr="00E61197">
        <w:rPr>
          <w:rFonts w:ascii="Times New Roman" w:hAnsi="Times New Roman" w:cs="Times New Roman"/>
          <w:b/>
          <w:sz w:val="28"/>
          <w:szCs w:val="28"/>
          <w:lang w:val="en-US"/>
        </w:rPr>
        <w:t>board</w:t>
      </w:r>
      <w:r w:rsidRPr="00E61197">
        <w:rPr>
          <w:rFonts w:ascii="Times New Roman" w:hAnsi="Times New Roman" w:cs="Times New Roman"/>
          <w:b/>
          <w:sz w:val="28"/>
          <w:szCs w:val="28"/>
        </w:rPr>
        <w:t xml:space="preserve">) – полный пансион - </w:t>
      </w:r>
      <w:r w:rsidRPr="00E61197">
        <w:rPr>
          <w:rFonts w:ascii="Times New Roman" w:hAnsi="Times New Roman" w:cs="Times New Roman"/>
          <w:sz w:val="28"/>
          <w:szCs w:val="28"/>
        </w:rPr>
        <w:t>тип питания, включающий завтрак обед и ужин.</w:t>
      </w:r>
      <w:proofErr w:type="gramEnd"/>
    </w:p>
    <w:p w:rsidR="00B61010" w:rsidRPr="00E61197" w:rsidRDefault="00B61010" w:rsidP="00B61010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KPI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ключевые показатели эффективности деятельности отеля.</w:t>
      </w:r>
      <w:proofErr w:type="gramEnd"/>
    </w:p>
    <w:p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Room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Revenue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доход от реализации комнат.</w:t>
      </w:r>
      <w:proofErr w:type="gramEnd"/>
    </w:p>
    <w:p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Occupancy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OCC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E61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заполняемость</w:t>
      </w:r>
      <w:proofErr w:type="spellEnd"/>
      <w:r w:rsidRPr="00E61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загрузка гостиницы.</w:t>
      </w:r>
      <w:proofErr w:type="gramEnd"/>
    </w:p>
    <w:p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61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ARR</w:t>
      </w:r>
      <w:r w:rsidRPr="00E61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Pr="00E61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ADR</w:t>
      </w:r>
      <w:r w:rsidRPr="00E61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E61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средняя стоимость номера за ночь.</w:t>
      </w:r>
      <w:proofErr w:type="gramEnd"/>
    </w:p>
    <w:p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RevPAR</w:t>
      </w:r>
      <w:proofErr w:type="spell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средний доход на каждый доступный номер.</w:t>
      </w:r>
    </w:p>
    <w:p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MPI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(индекс загрузки) – показатель, характеризующий величину загрузки отеля по отношению к конкурентной группе.</w:t>
      </w:r>
      <w:proofErr w:type="gram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Вычисляется как отношение загрузки отеля </w:t>
      </w:r>
      <w:proofErr w:type="gramStart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средней загрузке отелей-конкурентов в %. </w:t>
      </w:r>
    </w:p>
    <w:p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ARI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(индекс средней цены продажи номера) – показатель, характеризующий величину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ADR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отеля по отношению к 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ADR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конкурентной группы.</w:t>
      </w:r>
      <w:proofErr w:type="gram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RGI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(индекс дохода на номер) – показатель, характеризующий величину </w:t>
      </w:r>
      <w:proofErr w:type="spellStart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RevPar</w:t>
      </w:r>
      <w:proofErr w:type="spellEnd"/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отеля по отношению к доходу на номер конкурентной группы.</w:t>
      </w:r>
      <w:proofErr w:type="gramEnd"/>
    </w:p>
    <w:p w:rsidR="00B61010" w:rsidRPr="00E61197" w:rsidRDefault="00B61010" w:rsidP="00B610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ГЭ</w:t>
      </w:r>
      <w:r w:rsidRPr="00E6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эксперт.</w:t>
      </w:r>
    </w:p>
    <w:p w:rsidR="00B61010" w:rsidRPr="00E61197" w:rsidRDefault="00B61010" w:rsidP="00B6101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1010" w:rsidRPr="00E61197" w:rsidRDefault="00B61010" w:rsidP="00B6101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E61197">
        <w:rPr>
          <w:rFonts w:ascii="Times New Roman" w:hAnsi="Times New Roman" w:cs="Times New Roman"/>
          <w:b/>
          <w:bCs/>
        </w:rPr>
        <w:br w:type="page"/>
      </w:r>
      <w:bookmarkEnd w:id="0"/>
    </w:p>
    <w:p w:rsidR="00B61010" w:rsidRPr="00E61197" w:rsidRDefault="00B61010" w:rsidP="00B61010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6654131"/>
      <w:r w:rsidRPr="00E61197">
        <w:rPr>
          <w:rFonts w:ascii="Times New Roman" w:hAnsi="Times New Roman"/>
          <w:sz w:val="24"/>
        </w:rPr>
        <w:lastRenderedPageBreak/>
        <w:t>1.1. ОБЩИЕ СВЕДЕНИЯ О ТРЕБОВАНИЯХ КОМПЕТЕНЦИИ</w:t>
      </w:r>
      <w:bookmarkEnd w:id="1"/>
    </w:p>
    <w:p w:rsidR="00B61010" w:rsidRPr="00E61197" w:rsidRDefault="00B61010" w:rsidP="00B610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«Администрирование отеля» </w:t>
      </w:r>
      <w:bookmarkStart w:id="2" w:name="_Hlk123050441"/>
      <w:r w:rsidRPr="00E61197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 w:rsidRPr="00E61197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B61010" w:rsidRPr="00E61197" w:rsidRDefault="00B61010" w:rsidP="00B610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B61010" w:rsidRPr="00E61197" w:rsidRDefault="00B61010" w:rsidP="00B610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B61010" w:rsidRPr="00E61197" w:rsidRDefault="00B61010" w:rsidP="00B610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B61010" w:rsidRPr="00E61197" w:rsidRDefault="00B61010" w:rsidP="00B610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B61010" w:rsidRPr="00E61197" w:rsidRDefault="00B61010" w:rsidP="00B6101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6654132"/>
      <w:r w:rsidRPr="00E61197">
        <w:rPr>
          <w:rFonts w:ascii="Times New Roman" w:hAnsi="Times New Roman"/>
          <w:color w:val="000000"/>
          <w:sz w:val="24"/>
          <w:lang w:val="ru-RU"/>
        </w:rPr>
        <w:t>1.</w:t>
      </w:r>
      <w:bookmarkEnd w:id="3"/>
      <w:r w:rsidRPr="00E61197"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«АДМИНИСТРИРОВАНИЕ ОТЕЛЯ»</w:t>
      </w:r>
      <w:bookmarkEnd w:id="4"/>
    </w:p>
    <w:p w:rsidR="00B61010" w:rsidRPr="00E61197" w:rsidRDefault="00B61010" w:rsidP="00B6101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E61197">
        <w:rPr>
          <w:rFonts w:ascii="Times New Roman" w:hAnsi="Times New Roman" w:cs="Times New Roman"/>
          <w:i/>
          <w:iCs/>
          <w:sz w:val="28"/>
          <w:szCs w:val="20"/>
        </w:rPr>
        <w:t>Таблица №1</w:t>
      </w:r>
    </w:p>
    <w:p w:rsidR="00B61010" w:rsidRPr="00E61197" w:rsidRDefault="00B61010" w:rsidP="00B610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профессиональных задач специалиста </w:t>
      </w:r>
    </w:p>
    <w:p w:rsidR="00B61010" w:rsidRPr="00E61197" w:rsidRDefault="00B61010" w:rsidP="00B610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B61010" w:rsidRPr="00E61197" w:rsidTr="003433C6">
        <w:tc>
          <w:tcPr>
            <w:tcW w:w="330" w:type="pct"/>
            <w:shd w:val="clear" w:color="auto" w:fill="92D050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119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  <w:proofErr w:type="gramEnd"/>
            <w:r w:rsidRPr="00E6119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E6119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6" w:type="pct"/>
            <w:shd w:val="clear" w:color="auto" w:fill="92D050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E6119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Важность </w:t>
            </w:r>
            <w:proofErr w:type="gramStart"/>
            <w:r w:rsidRPr="00E6119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  <w:proofErr w:type="gramEnd"/>
            <w:r w:rsidRPr="00E6119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%</w:t>
            </w:r>
          </w:p>
        </w:tc>
      </w:tr>
      <w:tr w:rsidR="00B61010" w:rsidRPr="00E61197" w:rsidTr="003433C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1010" w:rsidRPr="00E6119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требования охраны труда;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охраны здоровья, санитарии и гигиены;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антитеррористической безопасности и безопасности гостей;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организационную структуру гостиничного комплекса или иного средства размещения, алгоритмы взаимодействия служб;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менеджмента и маркетинга, делопроизводства, подготовки отчетности гостиничных комплексов и иных средств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технологический цикл обслуживания гостей;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lastRenderedPageBreak/>
              <w:t>правила деловой коммуникации (вербальная/невербальная, письменная, в т.ч. телефонные переговоры);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управления человеческими ресурсами;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разрабатывать текущие и оперативные планы работ сотрудников службы приема и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распределять работу между сотрудниками службы приема и размещения, координировать ее и ставить им производственные задачи;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контролировать обеспеченность службы приема и размещения материально-техническими, информационными ресурсами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эффективно организовывать и оптимизировать рабочий процесс; 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деятельности службы приема и размещения и своевременно выявлять отклонения в их работе; 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разрабатывать внутренние нормативные документы для эффективной организации труда (инструкции, стандарты операционных процедур, </w:t>
            </w:r>
            <w:proofErr w:type="spellStart"/>
            <w:r w:rsidRPr="00E61197">
              <w:rPr>
                <w:rFonts w:ascii="Times New Roman" w:hAnsi="Times New Roman"/>
                <w:sz w:val="24"/>
                <w:szCs w:val="24"/>
              </w:rPr>
              <w:t>скрипты</w:t>
            </w:r>
            <w:proofErr w:type="spellEnd"/>
            <w:r w:rsidRPr="00E611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119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E6119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611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инструктировать сотрудников службы приема и размещения на рабочих местах по вопросам современных правил обслуживания гостей; 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составлять отчеты о работе службы приема и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соблюдать политику конфиденциальности; 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соблюдать требования законов РФ в части защиты прав потребителей и продажи услуг; 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:rsidTr="003433C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межличностного общения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1010" w:rsidRPr="00E6119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особенности межкультурной коммуникации с гостями;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межличностного и делового общения;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методы обеспечения лояльности гостей гостиниц и иных средств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иностранный язык с учетом характеристик постоянных клиентов гостиничного комплекса или иных средств размещения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деловой коммуникации (вербальная/невербальная, письменная, в т.ч. телефонные переговоры);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lastRenderedPageBreak/>
              <w:t>способы преодоления барьеров эффективной коммуникации;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стандарты внешнего вида сотрудников гостиниц и иных средств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Разрешать возникшие у гостей проблемы, связанные с услугами в гостинице и городе (населенном пункте), в котором расположен гостиничный комплекс или иное средство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Обрабатывать информацию о гостях гостиничного комплекса или иного средства размещения с использованием специализированных программных комплексов;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Управлять конфликтными ситуациями / жалобами;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Отождествлять себя с организацией, ее целями, философией и стандартами; 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Поддерживать профессиональные отношения с гостями и коллегами;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Поддерживать внешний вид согласно установленным стандартам;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Применять техники вербальной/невербальной в т.ч. письменной коммуникации;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Сохранять самообладание и уверенность в себе при осуществлении профессиональной деятельности;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:rsidTr="003433C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1010" w:rsidRPr="00E6119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особенности распределения различных категорий номеров в соответствии с поэтажным планом;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 каналы прямых и непрямых продаж гостиниц и иных средств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технологию работы с автоматизированными системами управления гостиниц и иных средств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тарифную политику;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виды бронирования;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способы гарантирования и аннулирования бронирования;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основные показатели эффективности деятельности гостиниц и иных средств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политику взаимодействия с тур</w:t>
            </w:r>
            <w:proofErr w:type="gramStart"/>
            <w:r w:rsidRPr="00E611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119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61197">
              <w:rPr>
                <w:rFonts w:ascii="Times New Roman" w:hAnsi="Times New Roman"/>
                <w:sz w:val="24"/>
                <w:szCs w:val="24"/>
              </w:rPr>
              <w:t>ператорами, агентами и корпоративными партнерами.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различные виды бронирования в гостиничных комплексах или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бронирование номерного фонда, используя инструменты стратегического планирования;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:rsidTr="003433C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ind w:left="2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Заезд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1010" w:rsidRPr="00E6119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технологический цикл обслуживания гостей;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процедуры выдачи ключей, виды ключей;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особенности работы с личными данными гостя;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технологию работы с автоматизированными системами управления (асу);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организационную структуру гостиничного комплекса или иного средства размещения, алгоритмы взаимодействия служб;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алгоритмы приема и хранения багажа и ценных вещей.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регистрацию российских и иностранных гостей гостиничного комплекса или иного средства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проводить процедуру идентификации личности гостя;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размещать гостей согласно статусу номерного фонда;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предоставлять корректную информацию об инфраструктуре и номерном фонде отеля;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хранить и актуализировать всю необходимую документацию и информацию, касающуюся проживания гостей;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размещения в гостиничном комплексе или ином средстве размещения в наличной и безналичной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:rsidTr="003433C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гостей во время их проживания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1010" w:rsidRPr="00E6119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культурную, историческую и туристическую информацию, касающуюся данного региона.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межличностного и делового общения;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особенности межкультурной коммуникации с гостями;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особенности обслуживания гостей, членов программ лояльности гостиниц и иных средств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механизмы формирования счета при пользовании дополнительными платными услугами;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процедуры взаимодействия внутри отделов фронт-офис и </w:t>
            </w:r>
            <w:proofErr w:type="spellStart"/>
            <w:r w:rsidRPr="00E61197">
              <w:rPr>
                <w:rFonts w:ascii="Times New Roman" w:hAnsi="Times New Roman"/>
                <w:sz w:val="24"/>
                <w:szCs w:val="24"/>
              </w:rPr>
              <w:t>бэк-офис</w:t>
            </w:r>
            <w:proofErr w:type="spellEnd"/>
            <w:r w:rsidRPr="00E611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алгоритм работы с актами на возмещение ущерба, обнаружения забытых вещей.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хранить ключи и ценности гостей в соответствии с правилами гостиничного комплекса или иного средства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городе (населенном пункте), в котором расположен гостиничный комплекс или иное средство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оказывать помощь в проведении ознакомительных экскурсий по гостиничному комплексу или иному средству размещения для заинтересованных лиц;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принимать и отвечать на гостевые запросы, в том числе по телефону, и контролировать их выполнение службами гостиничного комплекса или иного средства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1197">
              <w:rPr>
                <w:rFonts w:ascii="Times New Roman" w:hAnsi="Times New Roman"/>
                <w:sz w:val="24"/>
                <w:szCs w:val="24"/>
              </w:rPr>
              <w:t>находить информацию об услугах по бронированию авиабилетов и железнодорожных билетов, билетов в театры, на музыкальные и развлекательные мероприятия, в музеи, по аренде автомобилей, такси, по работе городского транспорта, об офисных услугах, о работе магазинов, ресторанов, баров, казино, медицинских учреждений и о прочих услугах, оказываемых организациями в городе (населенном пункте), в котором расположен гостиничный комплекс или иное средство размещения;</w:t>
            </w:r>
            <w:proofErr w:type="gramEnd"/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предоставлять дополнительные услуги, связанные с </w:t>
            </w:r>
            <w:r w:rsidRPr="00E61197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выполнением запросов и просьб гостей по услугам в отеле и городе (населенном пункте), в котором расположен гостиничный комплекс или иное средство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нахождения в гостиничном комплексе или ином средстве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:rsidTr="003433C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Продажа услуг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1010" w:rsidRPr="00E6119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рекламной деятельности;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механизмы информирования гостей об актуальных акциях и предложениях отеля;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роль администратора в продвижении и максимизации продаж и прибыли;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стратегию продаж, </w:t>
            </w:r>
            <w:proofErr w:type="gramStart"/>
            <w:r w:rsidRPr="00E61197">
              <w:rPr>
                <w:rFonts w:ascii="Times New Roman" w:hAnsi="Times New Roman"/>
                <w:sz w:val="24"/>
                <w:szCs w:val="24"/>
              </w:rPr>
              <w:t>используемой</w:t>
            </w:r>
            <w:proofErr w:type="gramEnd"/>
            <w:r w:rsidRPr="00E61197">
              <w:rPr>
                <w:rFonts w:ascii="Times New Roman" w:hAnsi="Times New Roman"/>
                <w:sz w:val="24"/>
                <w:szCs w:val="24"/>
              </w:rPr>
              <w:t xml:space="preserve"> отелем;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ключевые показатели эффективности деятельность гостиниц и иных средств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основы управления доходами.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Рекламировать и продавать услуги гостям на разных этапах их обслуживания;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Применять техники управления доходами гостиничного комплекса или иного средства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Применять техники активных продаж: </w:t>
            </w:r>
            <w:proofErr w:type="spellStart"/>
            <w:r w:rsidRPr="00E61197">
              <w:rPr>
                <w:rFonts w:ascii="Times New Roman" w:hAnsi="Times New Roman"/>
                <w:sz w:val="24"/>
                <w:szCs w:val="24"/>
              </w:rPr>
              <w:t>ап-сейл</w:t>
            </w:r>
            <w:proofErr w:type="spellEnd"/>
            <w:r w:rsidRPr="00E611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1197">
              <w:rPr>
                <w:rFonts w:ascii="Times New Roman" w:hAnsi="Times New Roman"/>
                <w:sz w:val="24"/>
                <w:szCs w:val="24"/>
              </w:rPr>
              <w:t>кросс-сейл</w:t>
            </w:r>
            <w:proofErr w:type="spellEnd"/>
            <w:r w:rsidRPr="00E611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продажи дополнительных услуг;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Обрабатывать статистические данные с использованием специализированных программных комплексов для целей стратегического планирования продаж;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Рассчитывать ключевые показатели эффективности деятельность гостиниц и иных средств размещения;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:rsidTr="003433C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1010" w:rsidRPr="00E6119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российской федерации, регулирующие деятельность гостиниц и иных средств </w:t>
            </w:r>
            <w:r w:rsidRPr="00E61197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финансово-кредитную политику (</w:t>
            </w:r>
            <w:proofErr w:type="spellStart"/>
            <w:r w:rsidRPr="00E61197">
              <w:rPr>
                <w:rFonts w:ascii="Times New Roman" w:hAnsi="Times New Roman"/>
                <w:sz w:val="24"/>
                <w:szCs w:val="24"/>
              </w:rPr>
              <w:t>фкп</w:t>
            </w:r>
            <w:proofErr w:type="spellEnd"/>
            <w:r w:rsidRPr="00E61197">
              <w:rPr>
                <w:rFonts w:ascii="Times New Roman" w:hAnsi="Times New Roman"/>
                <w:sz w:val="24"/>
                <w:szCs w:val="24"/>
              </w:rPr>
              <w:t>) гостиничного комплекса или иного средства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принципы работы специализированных программных комплексов, используемых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применения расчетного часа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приема и хранения денежных средств;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правила хранения и выдачи багажа гостей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10" w:rsidRPr="00E61197" w:rsidTr="003433C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1010" w:rsidRPr="00E61197" w:rsidRDefault="00B61010" w:rsidP="00343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1010" w:rsidRPr="00E61197" w:rsidRDefault="00B61010" w:rsidP="0034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формировать счета гостей;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выезда из гостиничного комплекса или иного средства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оформлять документы, подтверждающие пребывание гостя в гостиничном комплексе или ином средстве размещения;</w:t>
            </w:r>
          </w:p>
          <w:p w:rsidR="00B61010" w:rsidRPr="00E61197" w:rsidRDefault="00B61010" w:rsidP="00B61010">
            <w:pPr>
              <w:pStyle w:val="aff1"/>
              <w:numPr>
                <w:ilvl w:val="0"/>
                <w:numId w:val="24"/>
              </w:numPr>
              <w:spacing w:line="240" w:lineRule="auto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E61197">
              <w:rPr>
                <w:rFonts w:ascii="Times New Roman" w:hAnsi="Times New Roman"/>
                <w:sz w:val="24"/>
                <w:szCs w:val="24"/>
              </w:rPr>
              <w:t>осуществлять прием, хранение и передачу денежных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1010" w:rsidRPr="00E61197" w:rsidRDefault="00B61010" w:rsidP="00343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010" w:rsidRPr="00E61197" w:rsidRDefault="00B61010" w:rsidP="00B610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B61010" w:rsidRPr="00E61197" w:rsidRDefault="00B61010" w:rsidP="00B61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br w:type="page"/>
      </w:r>
    </w:p>
    <w:p w:rsidR="00B61010" w:rsidRPr="00E61197" w:rsidRDefault="00B61010" w:rsidP="00B61010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6654133"/>
      <w:r w:rsidRPr="00E61197"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 w:rsidRPr="00E6119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:rsidR="00B61010" w:rsidRPr="00E61197" w:rsidRDefault="00B61010" w:rsidP="00B61010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6119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C56A9B" w:rsidRPr="00E61197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E6119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E61197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6119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E6119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E6119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E6119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E6119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E6119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E61197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/>
      </w:tblPr>
      <w:tblGrid>
        <w:gridCol w:w="1641"/>
        <w:gridCol w:w="301"/>
        <w:gridCol w:w="1253"/>
        <w:gridCol w:w="1254"/>
        <w:gridCol w:w="1254"/>
        <w:gridCol w:w="1254"/>
        <w:gridCol w:w="1256"/>
        <w:gridCol w:w="1642"/>
      </w:tblGrid>
      <w:tr w:rsidR="004E785E" w:rsidRPr="00E61197" w:rsidTr="00B876D2">
        <w:trPr>
          <w:trHeight w:val="1538"/>
          <w:jc w:val="center"/>
        </w:trPr>
        <w:tc>
          <w:tcPr>
            <w:tcW w:w="4167" w:type="pct"/>
            <w:gridSpan w:val="7"/>
            <w:shd w:val="clear" w:color="auto" w:fill="92D050"/>
            <w:vAlign w:val="center"/>
          </w:tcPr>
          <w:p w:rsidR="004E785E" w:rsidRPr="00E61197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E61197">
              <w:rPr>
                <w:b/>
                <w:sz w:val="22"/>
                <w:szCs w:val="22"/>
              </w:rPr>
              <w:t>Критерий</w:t>
            </w:r>
            <w:r w:rsidR="00613219" w:rsidRPr="00E61197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833" w:type="pct"/>
            <w:shd w:val="clear" w:color="auto" w:fill="92D050"/>
            <w:vAlign w:val="center"/>
          </w:tcPr>
          <w:p w:rsidR="004E785E" w:rsidRPr="00E61197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E61197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E61197">
              <w:rPr>
                <w:b/>
                <w:sz w:val="22"/>
                <w:szCs w:val="22"/>
              </w:rPr>
              <w:t>ТРЕБОВАНИЙ</w:t>
            </w:r>
            <w:r w:rsidR="00E0407E" w:rsidRPr="00E61197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012DAF" w:rsidRPr="00E61197" w:rsidTr="00B876D2">
        <w:trPr>
          <w:trHeight w:val="50"/>
          <w:jc w:val="center"/>
        </w:trPr>
        <w:tc>
          <w:tcPr>
            <w:tcW w:w="833" w:type="pct"/>
            <w:vMerge w:val="restart"/>
            <w:shd w:val="clear" w:color="auto" w:fill="92D050"/>
            <w:vAlign w:val="center"/>
          </w:tcPr>
          <w:p w:rsidR="00012DAF" w:rsidRPr="00E61197" w:rsidRDefault="00012DAF" w:rsidP="003242E1">
            <w:pPr>
              <w:jc w:val="center"/>
              <w:rPr>
                <w:b/>
                <w:sz w:val="22"/>
                <w:szCs w:val="22"/>
              </w:rPr>
            </w:pPr>
            <w:r w:rsidRPr="00E61197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3" w:type="pct"/>
            <w:shd w:val="clear" w:color="auto" w:fill="92D050"/>
            <w:vAlign w:val="center"/>
          </w:tcPr>
          <w:p w:rsidR="00012DAF" w:rsidRPr="00E61197" w:rsidRDefault="00012DAF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00B050"/>
            <w:vAlign w:val="center"/>
          </w:tcPr>
          <w:p w:rsidR="00012DAF" w:rsidRPr="00E61197" w:rsidRDefault="00012DA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36" w:type="pct"/>
            <w:shd w:val="clear" w:color="auto" w:fill="00B050"/>
            <w:vAlign w:val="center"/>
          </w:tcPr>
          <w:p w:rsidR="00012DAF" w:rsidRPr="00E61197" w:rsidRDefault="00012DA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36" w:type="pct"/>
            <w:shd w:val="clear" w:color="auto" w:fill="00B050"/>
            <w:vAlign w:val="center"/>
          </w:tcPr>
          <w:p w:rsidR="00012DAF" w:rsidRPr="00E61197" w:rsidRDefault="00012DA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36" w:type="pct"/>
            <w:shd w:val="clear" w:color="auto" w:fill="00B050"/>
            <w:vAlign w:val="center"/>
          </w:tcPr>
          <w:p w:rsidR="00012DAF" w:rsidRPr="00E61197" w:rsidRDefault="00012DA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37" w:type="pct"/>
            <w:shd w:val="clear" w:color="auto" w:fill="00B050"/>
            <w:vAlign w:val="center"/>
          </w:tcPr>
          <w:p w:rsidR="00012DAF" w:rsidRPr="00012DAF" w:rsidRDefault="00012DAF" w:rsidP="00012D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833" w:type="pct"/>
            <w:shd w:val="clear" w:color="auto" w:fill="00B050"/>
            <w:vAlign w:val="center"/>
          </w:tcPr>
          <w:p w:rsidR="00012DAF" w:rsidRPr="00E61197" w:rsidRDefault="00012DAF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D0C13" w:rsidRPr="00E61197" w:rsidTr="00162FCC">
        <w:trPr>
          <w:trHeight w:val="565"/>
          <w:jc w:val="center"/>
        </w:trPr>
        <w:tc>
          <w:tcPr>
            <w:tcW w:w="833" w:type="pct"/>
            <w:vMerge/>
            <w:shd w:val="clear" w:color="auto" w:fill="92D050"/>
            <w:vAlign w:val="center"/>
          </w:tcPr>
          <w:p w:rsidR="001D0C13" w:rsidRPr="00E61197" w:rsidRDefault="001D0C1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:rsidR="001D0C13" w:rsidRPr="00E61197" w:rsidRDefault="001D0C1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D477DC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F6E20" w:rsidP="001D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62FCC" w:rsidRPr="00162FCC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F6E20" w:rsidRDefault="001F6E20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F6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D0C13" w:rsidRPr="00162FCC" w:rsidRDefault="001D0C13" w:rsidP="006B3541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1</w:t>
            </w:r>
            <w:r w:rsidR="006B3541" w:rsidRPr="00162FCC">
              <w:rPr>
                <w:color w:val="000000"/>
                <w:sz w:val="22"/>
                <w:szCs w:val="22"/>
              </w:rPr>
              <w:t>3</w:t>
            </w:r>
            <w:r w:rsidRPr="00162FCC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1D0C13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26,3</w:t>
            </w:r>
          </w:p>
        </w:tc>
      </w:tr>
      <w:tr w:rsidR="001D0C13" w:rsidRPr="00E61197" w:rsidTr="00162FCC">
        <w:trPr>
          <w:trHeight w:val="559"/>
          <w:jc w:val="center"/>
        </w:trPr>
        <w:tc>
          <w:tcPr>
            <w:tcW w:w="833" w:type="pct"/>
            <w:vMerge/>
            <w:shd w:val="clear" w:color="auto" w:fill="92D050"/>
            <w:vAlign w:val="center"/>
          </w:tcPr>
          <w:p w:rsidR="001D0C13" w:rsidRPr="00E61197" w:rsidRDefault="001D0C1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:rsidR="001D0C13" w:rsidRPr="00E61197" w:rsidRDefault="001D0C1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F6E20" w:rsidP="001D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F6E20" w:rsidRDefault="001F6E20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F6E20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1D0C13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29,7</w:t>
            </w:r>
          </w:p>
        </w:tc>
      </w:tr>
      <w:tr w:rsidR="001D0C13" w:rsidRPr="00E61197" w:rsidTr="00162FCC">
        <w:trPr>
          <w:trHeight w:val="553"/>
          <w:jc w:val="center"/>
        </w:trPr>
        <w:tc>
          <w:tcPr>
            <w:tcW w:w="833" w:type="pct"/>
            <w:vMerge/>
            <w:shd w:val="clear" w:color="auto" w:fill="92D050"/>
            <w:vAlign w:val="center"/>
          </w:tcPr>
          <w:p w:rsidR="001D0C13" w:rsidRPr="00E61197" w:rsidRDefault="001D0C1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:rsidR="001D0C13" w:rsidRPr="00E61197" w:rsidRDefault="001D0C1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F6E20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F6E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1D0C13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1D0C13" w:rsidRPr="00E61197" w:rsidTr="00162FCC">
        <w:trPr>
          <w:trHeight w:val="561"/>
          <w:jc w:val="center"/>
        </w:trPr>
        <w:tc>
          <w:tcPr>
            <w:tcW w:w="833" w:type="pct"/>
            <w:vMerge/>
            <w:shd w:val="clear" w:color="auto" w:fill="92D050"/>
            <w:vAlign w:val="center"/>
          </w:tcPr>
          <w:p w:rsidR="001D0C13" w:rsidRPr="00E61197" w:rsidRDefault="001D0C1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:rsidR="001D0C13" w:rsidRPr="00E61197" w:rsidRDefault="001D0C1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F6E20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F6E20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1D0C13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</w:tr>
      <w:tr w:rsidR="001D0C13" w:rsidRPr="00E61197" w:rsidTr="00162FCC">
        <w:trPr>
          <w:trHeight w:val="555"/>
          <w:jc w:val="center"/>
        </w:trPr>
        <w:tc>
          <w:tcPr>
            <w:tcW w:w="833" w:type="pct"/>
            <w:vMerge/>
            <w:shd w:val="clear" w:color="auto" w:fill="92D050"/>
            <w:vAlign w:val="center"/>
          </w:tcPr>
          <w:p w:rsidR="001D0C13" w:rsidRPr="00E61197" w:rsidRDefault="001D0C1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:rsidR="001D0C13" w:rsidRPr="00E61197" w:rsidRDefault="001D0C1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F6E20" w:rsidP="001F6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D0C13" w:rsidRPr="00162FC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F6E20" w:rsidRDefault="001F6E20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F6E2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1D0C13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</w:p>
        </w:tc>
      </w:tr>
      <w:tr w:rsidR="001D0C13" w:rsidRPr="00E61197" w:rsidTr="00162FCC">
        <w:trPr>
          <w:trHeight w:val="549"/>
          <w:jc w:val="center"/>
        </w:trPr>
        <w:tc>
          <w:tcPr>
            <w:tcW w:w="833" w:type="pct"/>
            <w:vMerge/>
            <w:shd w:val="clear" w:color="auto" w:fill="92D050"/>
            <w:vAlign w:val="center"/>
          </w:tcPr>
          <w:p w:rsidR="001D0C13" w:rsidRPr="00E61197" w:rsidRDefault="001D0C1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:rsidR="001D0C13" w:rsidRPr="00E61197" w:rsidRDefault="001D0C1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F6E20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F6E20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1D0C13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1D0C13" w:rsidRPr="00E61197" w:rsidTr="00162FCC">
        <w:trPr>
          <w:trHeight w:val="557"/>
          <w:jc w:val="center"/>
        </w:trPr>
        <w:tc>
          <w:tcPr>
            <w:tcW w:w="833" w:type="pct"/>
            <w:vMerge/>
            <w:shd w:val="clear" w:color="auto" w:fill="92D050"/>
            <w:vAlign w:val="center"/>
          </w:tcPr>
          <w:p w:rsidR="001D0C13" w:rsidRPr="00E61197" w:rsidRDefault="001D0C1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:rsidR="001D0C13" w:rsidRPr="00012DAF" w:rsidRDefault="001D0C1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F6E20" w:rsidP="001D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D0C13" w:rsidRPr="00162FCC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F6E20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F6E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1D0C13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</w:tr>
      <w:tr w:rsidR="001D0C13" w:rsidRPr="00E61197" w:rsidTr="00162FCC">
        <w:trPr>
          <w:trHeight w:val="50"/>
          <w:jc w:val="center"/>
        </w:trPr>
        <w:tc>
          <w:tcPr>
            <w:tcW w:w="985" w:type="pct"/>
            <w:gridSpan w:val="2"/>
            <w:shd w:val="clear" w:color="auto" w:fill="00B050"/>
            <w:vAlign w:val="center"/>
          </w:tcPr>
          <w:p w:rsidR="001D0C13" w:rsidRPr="00E61197" w:rsidRDefault="001D0C13" w:rsidP="007274B8">
            <w:pPr>
              <w:jc w:val="center"/>
              <w:rPr>
                <w:sz w:val="22"/>
                <w:szCs w:val="22"/>
              </w:rPr>
            </w:pPr>
            <w:r w:rsidRPr="00E61197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1D0C13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D0C13" w:rsidP="00D477DC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20,</w:t>
            </w:r>
            <w:r w:rsidR="00D477DC" w:rsidRPr="00162F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62FCC" w:rsidRDefault="001F6E20" w:rsidP="001F6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1D0C13" w:rsidRPr="00162FC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0C13" w:rsidRPr="001F6E20" w:rsidRDefault="001F6E20" w:rsidP="001F6E20">
            <w:pPr>
              <w:jc w:val="center"/>
              <w:rPr>
                <w:color w:val="000000"/>
                <w:sz w:val="22"/>
                <w:szCs w:val="22"/>
              </w:rPr>
            </w:pPr>
            <w:r w:rsidRPr="001F6E20">
              <w:rPr>
                <w:color w:val="000000"/>
                <w:sz w:val="22"/>
                <w:szCs w:val="22"/>
              </w:rPr>
              <w:t>14</w:t>
            </w:r>
            <w:r w:rsidR="001D0C13" w:rsidRPr="001F6E20">
              <w:rPr>
                <w:color w:val="000000"/>
                <w:sz w:val="22"/>
                <w:szCs w:val="22"/>
              </w:rPr>
              <w:t>,</w:t>
            </w:r>
            <w:r w:rsidRPr="001F6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D0C13" w:rsidRPr="00162FCC" w:rsidRDefault="001D0C13" w:rsidP="006B3541">
            <w:pPr>
              <w:jc w:val="center"/>
              <w:rPr>
                <w:color w:val="000000"/>
                <w:sz w:val="22"/>
                <w:szCs w:val="22"/>
              </w:rPr>
            </w:pPr>
            <w:r w:rsidRPr="00162FCC">
              <w:rPr>
                <w:color w:val="000000"/>
                <w:sz w:val="22"/>
                <w:szCs w:val="22"/>
              </w:rPr>
              <w:t>2</w:t>
            </w:r>
            <w:r w:rsidR="006B3541" w:rsidRPr="00162FCC">
              <w:rPr>
                <w:color w:val="000000"/>
                <w:sz w:val="22"/>
                <w:szCs w:val="22"/>
              </w:rPr>
              <w:t>6</w:t>
            </w:r>
            <w:r w:rsidRPr="00162FCC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1D0C13" w:rsidRPr="00E61197" w:rsidRDefault="001D0C13" w:rsidP="001D0C13">
            <w:pPr>
              <w:jc w:val="center"/>
              <w:rPr>
                <w:b/>
                <w:sz w:val="22"/>
                <w:szCs w:val="22"/>
              </w:rPr>
            </w:pPr>
            <w:r w:rsidRPr="00E61197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Pr="00E61197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Pr="00E61197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E61197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 w:rsidRPr="00E61197">
        <w:rPr>
          <w:rFonts w:ascii="Times New Roman" w:hAnsi="Times New Roman"/>
          <w:sz w:val="24"/>
        </w:rPr>
        <w:t>1</w:t>
      </w:r>
      <w:r w:rsidR="00643A8A" w:rsidRPr="00E61197">
        <w:rPr>
          <w:rFonts w:ascii="Times New Roman" w:hAnsi="Times New Roman"/>
          <w:sz w:val="24"/>
        </w:rPr>
        <w:t>.</w:t>
      </w:r>
      <w:r w:rsidRPr="00E61197">
        <w:rPr>
          <w:rFonts w:ascii="Times New Roman" w:hAnsi="Times New Roman"/>
          <w:sz w:val="24"/>
        </w:rPr>
        <w:t>4</w:t>
      </w:r>
      <w:r w:rsidR="00AA2B8A" w:rsidRPr="00E61197">
        <w:rPr>
          <w:rFonts w:ascii="Times New Roman" w:hAnsi="Times New Roman"/>
          <w:sz w:val="24"/>
        </w:rPr>
        <w:t xml:space="preserve">. </w:t>
      </w:r>
      <w:r w:rsidR="007A6888" w:rsidRPr="00E61197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:rsidR="00DE39D8" w:rsidRPr="00E61197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E61197">
        <w:rPr>
          <w:rFonts w:ascii="Times New Roman" w:hAnsi="Times New Roman" w:cs="Times New Roman"/>
          <w:sz w:val="28"/>
          <w:szCs w:val="28"/>
        </w:rPr>
        <w:t>К</w:t>
      </w:r>
      <w:r w:rsidRPr="00E61197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E61197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E61197">
        <w:rPr>
          <w:rFonts w:ascii="Times New Roman" w:hAnsi="Times New Roman" w:cs="Times New Roman"/>
          <w:sz w:val="28"/>
          <w:szCs w:val="28"/>
        </w:rPr>
        <w:t>:</w:t>
      </w:r>
    </w:p>
    <w:p w:rsidR="00640E46" w:rsidRPr="00E61197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61197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B61010" w:rsidRPr="00E61197" w:rsidTr="003433C6">
        <w:tc>
          <w:tcPr>
            <w:tcW w:w="1851" w:type="pct"/>
            <w:gridSpan w:val="2"/>
            <w:shd w:val="clear" w:color="auto" w:fill="92D050"/>
          </w:tcPr>
          <w:p w:rsidR="00B61010" w:rsidRPr="00E61197" w:rsidRDefault="00B61010" w:rsidP="003433C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119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B61010" w:rsidRPr="00E61197" w:rsidRDefault="00B61010" w:rsidP="003433C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1197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61010" w:rsidRPr="00E61197" w:rsidTr="003433C6">
        <w:tc>
          <w:tcPr>
            <w:tcW w:w="282" w:type="pct"/>
            <w:shd w:val="clear" w:color="auto" w:fill="00B050"/>
          </w:tcPr>
          <w:p w:rsidR="00B61010" w:rsidRPr="00E61197" w:rsidRDefault="00B61010" w:rsidP="003433C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61197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91575F" w:rsidRPr="0091575F" w:rsidRDefault="00B61010" w:rsidP="0091575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 xml:space="preserve">Модуль А. </w:t>
            </w:r>
            <w:r w:rsidR="0091575F" w:rsidRPr="0091575F">
              <w:rPr>
                <w:sz w:val="24"/>
                <w:szCs w:val="24"/>
              </w:rPr>
              <w:t>Бронирование.</w:t>
            </w:r>
          </w:p>
          <w:p w:rsidR="0091575F" w:rsidRPr="00E61197" w:rsidRDefault="0091575F" w:rsidP="0091575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1575F">
              <w:rPr>
                <w:sz w:val="24"/>
                <w:szCs w:val="24"/>
              </w:rPr>
              <w:t>русский.</w:t>
            </w:r>
            <w:r w:rsidRPr="0091575F">
              <w:rPr>
                <w:bCs/>
                <w:sz w:val="24"/>
                <w:szCs w:val="24"/>
              </w:rPr>
              <w:t xml:space="preserve"> </w:t>
            </w:r>
            <w:r w:rsidRPr="0091575F">
              <w:rPr>
                <w:sz w:val="24"/>
                <w:szCs w:val="24"/>
              </w:rPr>
              <w:t>Помощь гостю во время проживания</w:t>
            </w:r>
            <w:r w:rsidRPr="0091575F">
              <w:rPr>
                <w:bCs/>
                <w:sz w:val="24"/>
                <w:szCs w:val="24"/>
              </w:rPr>
              <w:t>.</w:t>
            </w:r>
            <w:r w:rsidRPr="00E5496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:rsidR="00B61010" w:rsidRPr="00E61197" w:rsidRDefault="0091575F" w:rsidP="00FE14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Оценивается знание алгоритма стандартн</w:t>
            </w:r>
            <w:r w:rsidR="00FE1473">
              <w:rPr>
                <w:sz w:val="24"/>
                <w:szCs w:val="24"/>
              </w:rPr>
              <w:t>ой</w:t>
            </w:r>
            <w:r w:rsidRPr="00E61197">
              <w:rPr>
                <w:sz w:val="24"/>
                <w:szCs w:val="24"/>
              </w:rPr>
              <w:t xml:space="preserve"> операци</w:t>
            </w:r>
            <w:r w:rsidR="00FE1473">
              <w:rPr>
                <w:sz w:val="24"/>
                <w:szCs w:val="24"/>
              </w:rPr>
              <w:t>и</w:t>
            </w:r>
            <w:r w:rsidRPr="00E61197">
              <w:rPr>
                <w:sz w:val="24"/>
                <w:szCs w:val="24"/>
              </w:rPr>
              <w:t xml:space="preserve"> - бронирования, умение осуществлять бронирование гостя с использованием АСУ, умение продвигать услуги отеля; на</w:t>
            </w:r>
            <w:r w:rsidR="00FE1473">
              <w:rPr>
                <w:sz w:val="24"/>
                <w:szCs w:val="24"/>
              </w:rPr>
              <w:t>выки межличностной коммуникации</w:t>
            </w:r>
            <w:r w:rsidRPr="00E61197">
              <w:rPr>
                <w:sz w:val="24"/>
                <w:szCs w:val="24"/>
              </w:rPr>
              <w:t xml:space="preserve">. </w:t>
            </w:r>
            <w:r w:rsidR="00B61010" w:rsidRPr="00E61197">
              <w:rPr>
                <w:sz w:val="24"/>
                <w:szCs w:val="24"/>
              </w:rPr>
              <w:t xml:space="preserve">Оценивается умение адекватно обрабатывать запросы гостей, </w:t>
            </w:r>
            <w:r w:rsidR="00FE1473">
              <w:rPr>
                <w:sz w:val="24"/>
                <w:szCs w:val="24"/>
              </w:rPr>
              <w:t xml:space="preserve">оказывать помощь в соответствии с запросом, </w:t>
            </w:r>
            <w:r w:rsidR="00B61010" w:rsidRPr="00E61197">
              <w:rPr>
                <w:sz w:val="24"/>
                <w:szCs w:val="24"/>
              </w:rPr>
              <w:t xml:space="preserve">навыки </w:t>
            </w:r>
            <w:r w:rsidR="00B61010" w:rsidRPr="00E61197">
              <w:rPr>
                <w:sz w:val="24"/>
                <w:szCs w:val="24"/>
              </w:rPr>
              <w:lastRenderedPageBreak/>
              <w:t>межличностной коммуникации</w:t>
            </w:r>
            <w:r w:rsidR="00FE1473">
              <w:rPr>
                <w:sz w:val="24"/>
                <w:szCs w:val="24"/>
              </w:rPr>
              <w:t>.</w:t>
            </w:r>
            <w:r w:rsidR="00B61010" w:rsidRPr="00E61197">
              <w:rPr>
                <w:sz w:val="24"/>
                <w:szCs w:val="24"/>
              </w:rPr>
              <w:t xml:space="preserve"> </w:t>
            </w:r>
          </w:p>
        </w:tc>
      </w:tr>
      <w:tr w:rsidR="00B61010" w:rsidRPr="00E61197" w:rsidTr="003433C6">
        <w:tc>
          <w:tcPr>
            <w:tcW w:w="282" w:type="pct"/>
            <w:shd w:val="clear" w:color="auto" w:fill="00B050"/>
          </w:tcPr>
          <w:p w:rsidR="00B61010" w:rsidRPr="00E61197" w:rsidRDefault="00B61010" w:rsidP="003433C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61197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91575F" w:rsidRPr="00E61197" w:rsidRDefault="00B61010" w:rsidP="00FE147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 xml:space="preserve">Модуль Б. </w:t>
            </w:r>
            <w:r w:rsidR="00FE1473" w:rsidRPr="006B6563">
              <w:rPr>
                <w:color w:val="000000"/>
                <w:sz w:val="24"/>
                <w:szCs w:val="24"/>
              </w:rPr>
              <w:t>Выезд</w:t>
            </w:r>
            <w:r w:rsidR="00FE1473" w:rsidRPr="006B6563">
              <w:rPr>
                <w:sz w:val="24"/>
                <w:szCs w:val="24"/>
              </w:rPr>
              <w:t>. Помощь гостю во время проживания</w:t>
            </w:r>
            <w:r w:rsidR="00FE1473" w:rsidRPr="003433C6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:rsidR="00B61010" w:rsidRPr="00E61197" w:rsidRDefault="00FE1473" w:rsidP="006B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Оценивается знание алгоритма стандартной операции - выезд гостя, умение ее осуществлять, используя АСУ; умение проводить кассовые операции; умение продвигать услуги отеля; навыки межличностной коммуникации, в т.ч. на английском языке.</w:t>
            </w:r>
            <w:r w:rsidR="006B6563">
              <w:rPr>
                <w:sz w:val="24"/>
                <w:szCs w:val="24"/>
              </w:rPr>
              <w:t xml:space="preserve"> </w:t>
            </w:r>
            <w:r w:rsidRPr="00E61197">
              <w:rPr>
                <w:sz w:val="24"/>
                <w:szCs w:val="24"/>
              </w:rPr>
              <w:t xml:space="preserve">Оценивается умение адекватно обрабатывать запросы гостей, </w:t>
            </w:r>
            <w:r>
              <w:rPr>
                <w:sz w:val="24"/>
                <w:szCs w:val="24"/>
              </w:rPr>
              <w:t xml:space="preserve">оказывать помощь в соответствии с запросом, </w:t>
            </w:r>
            <w:r w:rsidRPr="00E61197">
              <w:rPr>
                <w:sz w:val="24"/>
                <w:szCs w:val="24"/>
              </w:rPr>
              <w:t>навыки межличностной коммуникации</w:t>
            </w:r>
            <w:r>
              <w:rPr>
                <w:sz w:val="24"/>
                <w:szCs w:val="24"/>
              </w:rPr>
              <w:t>,</w:t>
            </w:r>
            <w:r w:rsidRPr="00E61197">
              <w:rPr>
                <w:sz w:val="24"/>
                <w:szCs w:val="24"/>
              </w:rPr>
              <w:t xml:space="preserve"> умение в достаточном для гостя количестве предоставлять релевантную запросу туристическую информацию,</w:t>
            </w:r>
            <w:r>
              <w:rPr>
                <w:sz w:val="24"/>
                <w:szCs w:val="24"/>
              </w:rPr>
              <w:t xml:space="preserve"> </w:t>
            </w:r>
            <w:r w:rsidRPr="00E61197">
              <w:rPr>
                <w:sz w:val="24"/>
                <w:szCs w:val="24"/>
              </w:rPr>
              <w:t>в т.ч. на английском языке.</w:t>
            </w:r>
          </w:p>
        </w:tc>
      </w:tr>
      <w:tr w:rsidR="00B61010" w:rsidRPr="00E61197" w:rsidTr="003433C6">
        <w:tc>
          <w:tcPr>
            <w:tcW w:w="282" w:type="pct"/>
            <w:shd w:val="clear" w:color="auto" w:fill="00B050"/>
          </w:tcPr>
          <w:p w:rsidR="00B61010" w:rsidRPr="00E61197" w:rsidRDefault="00B61010" w:rsidP="003433C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61197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91575F" w:rsidRPr="00E61197" w:rsidRDefault="00B61010" w:rsidP="00F40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61197">
              <w:rPr>
                <w:sz w:val="24"/>
                <w:szCs w:val="24"/>
              </w:rPr>
              <w:t xml:space="preserve">Модуль В. </w:t>
            </w:r>
            <w:r w:rsidR="00FE1473" w:rsidRPr="006B6563">
              <w:rPr>
                <w:sz w:val="24"/>
                <w:szCs w:val="24"/>
              </w:rPr>
              <w:t>Заезд по предварительной брони</w:t>
            </w:r>
            <w:r w:rsidR="00FE1473" w:rsidRPr="006B6563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3149" w:type="pct"/>
            <w:shd w:val="clear" w:color="auto" w:fill="auto"/>
          </w:tcPr>
          <w:p w:rsidR="00B61010" w:rsidRPr="00E61197" w:rsidRDefault="00B61010" w:rsidP="001F6E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E61197">
              <w:rPr>
                <w:sz w:val="24"/>
                <w:szCs w:val="24"/>
              </w:rPr>
              <w:t>Оценивается умение в достаточном для гостя количестве предоставлять релевантную запросу туристическую информацию, знание алгоритма стандартной операции - заезда без предварительного бронирования, умение осуществлять и регистрировать заезд гостя, используя АСУ; умение продвигать услуги отеля; навыки межличностной коммуника</w:t>
            </w:r>
            <w:r w:rsidR="00FE1473">
              <w:rPr>
                <w:sz w:val="24"/>
                <w:szCs w:val="24"/>
              </w:rPr>
              <w:t xml:space="preserve">ции, </w:t>
            </w:r>
            <w:r w:rsidR="00FE1473" w:rsidRPr="00E61197">
              <w:rPr>
                <w:sz w:val="24"/>
                <w:szCs w:val="24"/>
              </w:rPr>
              <w:t>умение в достаточном для гостя количестве предоставлять релевантную запросу туристическую информацию</w:t>
            </w:r>
            <w:r w:rsidR="001F6E20">
              <w:rPr>
                <w:sz w:val="24"/>
                <w:szCs w:val="24"/>
              </w:rPr>
              <w:t>.</w:t>
            </w:r>
            <w:r w:rsidR="001F6E20" w:rsidRPr="00E61197">
              <w:rPr>
                <w:sz w:val="24"/>
                <w:szCs w:val="24"/>
              </w:rPr>
              <w:t xml:space="preserve"> Оценива</w:t>
            </w:r>
            <w:r w:rsidR="001F6E20">
              <w:rPr>
                <w:sz w:val="24"/>
                <w:szCs w:val="24"/>
              </w:rPr>
              <w:t>е</w:t>
            </w:r>
            <w:r w:rsidR="001F6E20" w:rsidRPr="00E61197">
              <w:rPr>
                <w:sz w:val="24"/>
                <w:szCs w:val="24"/>
              </w:rPr>
              <w:t>тся умение адекватно обрабатывать жалобы гостей, оказывать помощь гостям в экстраординарных ситуациях, координировать службы отеля; на</w:t>
            </w:r>
            <w:r w:rsidR="001F6E20">
              <w:rPr>
                <w:sz w:val="24"/>
                <w:szCs w:val="24"/>
              </w:rPr>
              <w:t>выки межличностной коммуникации</w:t>
            </w:r>
            <w:r w:rsidR="001F6E20" w:rsidRPr="00E61197">
              <w:rPr>
                <w:sz w:val="24"/>
                <w:szCs w:val="24"/>
              </w:rPr>
              <w:t>.</w:t>
            </w:r>
          </w:p>
        </w:tc>
      </w:tr>
      <w:tr w:rsidR="00B61010" w:rsidRPr="00E61197" w:rsidTr="003433C6">
        <w:tc>
          <w:tcPr>
            <w:tcW w:w="282" w:type="pct"/>
            <w:shd w:val="clear" w:color="auto" w:fill="00B050"/>
          </w:tcPr>
          <w:p w:rsidR="00B61010" w:rsidRPr="00E61197" w:rsidRDefault="00B61010" w:rsidP="003433C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61197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91575F" w:rsidRPr="00FE1473" w:rsidRDefault="00B61010" w:rsidP="00FE14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1473">
              <w:rPr>
                <w:color w:val="1A1A1A"/>
                <w:sz w:val="24"/>
                <w:szCs w:val="24"/>
              </w:rPr>
              <w:t xml:space="preserve">Модуль Г. </w:t>
            </w:r>
            <w:r w:rsidR="00FE1473">
              <w:rPr>
                <w:color w:val="1A1A1A"/>
                <w:sz w:val="24"/>
                <w:szCs w:val="24"/>
              </w:rPr>
              <w:t>Э</w:t>
            </w:r>
            <w:r w:rsidR="0091575F" w:rsidRPr="00FE1473">
              <w:rPr>
                <w:sz w:val="24"/>
                <w:szCs w:val="24"/>
              </w:rPr>
              <w:t xml:space="preserve">кстраординарная ситуация. </w:t>
            </w:r>
            <w:proofErr w:type="gramStart"/>
            <w:r w:rsidR="0091575F" w:rsidRPr="00FE1473">
              <w:rPr>
                <w:sz w:val="24"/>
                <w:szCs w:val="24"/>
              </w:rPr>
              <w:t>Заезд по предварительной брони</w:t>
            </w:r>
            <w:r w:rsidR="00FE1473">
              <w:rPr>
                <w:sz w:val="24"/>
                <w:szCs w:val="24"/>
              </w:rPr>
              <w:t>.</w:t>
            </w:r>
            <w:r w:rsidR="0091575F" w:rsidRPr="00FE1473">
              <w:rPr>
                <w:sz w:val="24"/>
                <w:szCs w:val="24"/>
              </w:rPr>
              <w:t xml:space="preserve"> </w:t>
            </w:r>
            <w:proofErr w:type="gramEnd"/>
          </w:p>
          <w:p w:rsidR="0091575F" w:rsidRDefault="0091575F" w:rsidP="003433C6">
            <w:pPr>
              <w:autoSpaceDE w:val="0"/>
              <w:autoSpaceDN w:val="0"/>
              <w:adjustRightInd w:val="0"/>
              <w:rPr>
                <w:color w:val="1A1A1A"/>
                <w:sz w:val="24"/>
                <w:szCs w:val="24"/>
              </w:rPr>
            </w:pPr>
          </w:p>
          <w:p w:rsidR="0091575F" w:rsidRPr="00E61197" w:rsidRDefault="0091575F" w:rsidP="0034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:rsidR="00B61010" w:rsidRPr="00E61197" w:rsidRDefault="00FE1473" w:rsidP="006B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E61197">
              <w:rPr>
                <w:sz w:val="24"/>
                <w:szCs w:val="24"/>
              </w:rPr>
              <w:t xml:space="preserve">Оценивается знание алгоритма стандартной операции - заезда </w:t>
            </w:r>
            <w:r w:rsidR="006B6563">
              <w:rPr>
                <w:sz w:val="24"/>
                <w:szCs w:val="24"/>
              </w:rPr>
              <w:t>по предварительному</w:t>
            </w:r>
            <w:r w:rsidRPr="00E61197">
              <w:rPr>
                <w:sz w:val="24"/>
                <w:szCs w:val="24"/>
              </w:rPr>
              <w:t xml:space="preserve"> бронировани</w:t>
            </w:r>
            <w:r w:rsidR="006B6563">
              <w:rPr>
                <w:sz w:val="24"/>
                <w:szCs w:val="24"/>
              </w:rPr>
              <w:t>ю</w:t>
            </w:r>
            <w:r w:rsidRPr="00E61197">
              <w:rPr>
                <w:sz w:val="24"/>
                <w:szCs w:val="24"/>
              </w:rPr>
              <w:t>, умение осуществлять и регистрировать заезд гостя, используя АСУ; умение продвигать услуги отеля; навыки межличностной коммуникации, в т.ч. на английском языке.</w:t>
            </w:r>
          </w:p>
        </w:tc>
      </w:tr>
      <w:tr w:rsidR="006B6563" w:rsidRPr="00E61197" w:rsidTr="003C3198">
        <w:trPr>
          <w:trHeight w:val="3864"/>
        </w:trPr>
        <w:tc>
          <w:tcPr>
            <w:tcW w:w="282" w:type="pct"/>
            <w:shd w:val="clear" w:color="auto" w:fill="00B050"/>
          </w:tcPr>
          <w:p w:rsidR="006B6563" w:rsidRPr="00E61197" w:rsidRDefault="006B6563" w:rsidP="003433C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6B6563" w:rsidRPr="006B6563" w:rsidRDefault="006B6563" w:rsidP="006B656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Д</w:t>
            </w:r>
            <w:r w:rsidRPr="00E61197">
              <w:rPr>
                <w:sz w:val="24"/>
                <w:szCs w:val="24"/>
              </w:rPr>
              <w:t xml:space="preserve">. </w:t>
            </w:r>
            <w:r w:rsidRPr="006B6563">
              <w:rPr>
                <w:color w:val="000000"/>
                <w:sz w:val="24"/>
                <w:szCs w:val="24"/>
              </w:rPr>
              <w:t>Письменные задания (</w:t>
            </w:r>
            <w:proofErr w:type="spellStart"/>
            <w:r w:rsidRPr="006B6563">
              <w:rPr>
                <w:color w:val="000000"/>
                <w:sz w:val="24"/>
                <w:szCs w:val="24"/>
              </w:rPr>
              <w:t>Бэк-офис</w:t>
            </w:r>
            <w:proofErr w:type="spellEnd"/>
            <w:r w:rsidRPr="006B6563">
              <w:rPr>
                <w:color w:val="000000"/>
                <w:sz w:val="24"/>
                <w:szCs w:val="24"/>
              </w:rPr>
              <w:t xml:space="preserve"> (</w:t>
            </w:r>
            <w:r w:rsidRPr="006B6563">
              <w:rPr>
                <w:color w:val="000000"/>
                <w:sz w:val="24"/>
                <w:szCs w:val="24"/>
                <w:lang w:val="en-US"/>
              </w:rPr>
              <w:t>back</w:t>
            </w:r>
            <w:r w:rsidRPr="006B6563">
              <w:rPr>
                <w:color w:val="000000"/>
                <w:sz w:val="24"/>
                <w:szCs w:val="24"/>
              </w:rPr>
              <w:t>-</w:t>
            </w:r>
            <w:r w:rsidRPr="006B6563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6B6563">
              <w:rPr>
                <w:color w:val="000000"/>
                <w:sz w:val="24"/>
                <w:szCs w:val="24"/>
              </w:rPr>
              <w:t>))</w:t>
            </w:r>
          </w:p>
          <w:p w:rsidR="006B6563" w:rsidRPr="00E61197" w:rsidRDefault="006B6563" w:rsidP="006B65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:rsidR="006B6563" w:rsidRPr="00E61197" w:rsidRDefault="006B6563" w:rsidP="006B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E61197">
              <w:rPr>
                <w:sz w:val="24"/>
                <w:szCs w:val="24"/>
              </w:rPr>
              <w:t xml:space="preserve">Оценивается знание этикета деловой переписки, умение составлять и корректно оформлять электронные и официальные письма, адекватно обрабатывать запросы и жалобы гостей и предоставлять релевантную информацию, принимать адекватные решения в предоставлении компенсации; грамматика русского и английского языков. Оценивается умение распределять рабочую нагрузку на сотрудников </w:t>
            </w:r>
            <w:proofErr w:type="spellStart"/>
            <w:r w:rsidRPr="00E61197">
              <w:rPr>
                <w:sz w:val="24"/>
                <w:szCs w:val="24"/>
              </w:rPr>
              <w:t>СПиР</w:t>
            </w:r>
            <w:proofErr w:type="spellEnd"/>
            <w:r w:rsidRPr="00E61197">
              <w:rPr>
                <w:sz w:val="24"/>
                <w:szCs w:val="24"/>
              </w:rPr>
              <w:t xml:space="preserve"> согласно заданным условиям, умение распределять номерной фонд в зависимости от запросов, категорий номеров, приоритетных статусов гостей и др. факторов, умение корректно излагать свои мысли, этикет письменного общения. Грамматика русского языка.</w:t>
            </w:r>
            <w:r>
              <w:rPr>
                <w:sz w:val="24"/>
                <w:szCs w:val="24"/>
              </w:rPr>
              <w:t xml:space="preserve"> Оценивается умение осуществлять расчет</w:t>
            </w:r>
            <w:r w:rsidRPr="00E61197">
              <w:rPr>
                <w:color w:val="000000"/>
                <w:sz w:val="28"/>
                <w:szCs w:val="28"/>
              </w:rPr>
              <w:t xml:space="preserve"> </w:t>
            </w:r>
            <w:r w:rsidRPr="006B6563">
              <w:rPr>
                <w:color w:val="000000"/>
                <w:sz w:val="24"/>
                <w:szCs w:val="24"/>
              </w:rPr>
              <w:t>ключевых показателей эффективности деятельности отеля</w:t>
            </w:r>
            <w:r w:rsidR="00F40070">
              <w:rPr>
                <w:color w:val="000000"/>
                <w:sz w:val="24"/>
                <w:szCs w:val="24"/>
              </w:rPr>
              <w:t xml:space="preserve"> и анализировать отчеты ночного аудита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B61010" w:rsidRPr="00E61197" w:rsidRDefault="00B61010" w:rsidP="00B610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5B3" w:rsidRDefault="005F25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A1625" w:rsidRPr="00E6119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:rsidR="009E52E7" w:rsidRPr="0091575F" w:rsidRDefault="0091575F" w:rsidP="006B65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91575F">
        <w:rPr>
          <w:rStyle w:val="markedcontent"/>
          <w:rFonts w:ascii="Times New Roman" w:hAnsi="Times New Roman" w:cs="Times New Roman"/>
          <w:sz w:val="28"/>
          <w:szCs w:val="28"/>
        </w:rPr>
        <w:t>Категория Конкурсантов: основная.</w:t>
      </w:r>
    </w:p>
    <w:p w:rsidR="009E52E7" w:rsidRPr="0091575F" w:rsidRDefault="009E52E7" w:rsidP="006B65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9157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4007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91575F"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0070">
        <w:rPr>
          <w:rFonts w:ascii="Times New Roman" w:eastAsia="Times New Roman" w:hAnsi="Times New Roman" w:cs="Times New Roman"/>
          <w:color w:val="000000"/>
          <w:sz w:val="28"/>
          <w:szCs w:val="28"/>
        </w:rPr>
        <w:t>30 мин.</w:t>
      </w:r>
    </w:p>
    <w:p w:rsidR="009E52E7" w:rsidRPr="00E61197" w:rsidRDefault="009E52E7" w:rsidP="006B65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61010"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F35F4F"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B61010"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E61197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E61197">
        <w:rPr>
          <w:rFonts w:ascii="Times New Roman" w:hAnsi="Times New Roman" w:cs="Times New Roman"/>
          <w:sz w:val="28"/>
          <w:szCs w:val="28"/>
        </w:rPr>
        <w:t>требований</w:t>
      </w:r>
      <w:r w:rsidRPr="00E61197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E6119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E61197">
        <w:rPr>
          <w:rFonts w:ascii="Times New Roman" w:hAnsi="Times New Roman" w:cs="Times New Roman"/>
          <w:sz w:val="28"/>
          <w:szCs w:val="28"/>
        </w:rPr>
        <w:t>.</w:t>
      </w:r>
    </w:p>
    <w:p w:rsidR="005A1625" w:rsidRPr="006B6563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563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6B6563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6B6563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 w:rsidRPr="006B6563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 w:rsidRPr="006B6563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 w:rsidRPr="006B6563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6B656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B6563"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</w:t>
      </w:r>
      <w:r w:rsidR="006B6563"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</w:t>
      </w:r>
      <w:proofErr w:type="gramEnd"/>
      <w:r w:rsidR="006B6563"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:rsidR="005F14CF" w:rsidRPr="006B6563" w:rsidRDefault="005F14CF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Д-1 каждого потока эксперты вносят 30% изменения в контекст конкурсного задания, равноценные по времени выполнения и уровню сложности. </w:t>
      </w:r>
    </w:p>
    <w:p w:rsidR="008C41F7" w:rsidRPr="00E6119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Pr="00E61197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E61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E61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E61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E61197" w:rsidTr="006B6563">
        <w:trPr>
          <w:trHeight w:val="802"/>
        </w:trPr>
        <w:tc>
          <w:tcPr>
            <w:tcW w:w="1622" w:type="dxa"/>
            <w:vAlign w:val="center"/>
          </w:tcPr>
          <w:p w:rsidR="00024F7D" w:rsidRPr="00E61197" w:rsidRDefault="00024F7D" w:rsidP="006B6563">
            <w:pPr>
              <w:jc w:val="center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024F7D" w:rsidRPr="00E61197" w:rsidRDefault="00024F7D" w:rsidP="006B6563">
            <w:pPr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024F7D" w:rsidRPr="00E61197" w:rsidRDefault="00024F7D" w:rsidP="006B6563">
            <w:pPr>
              <w:jc w:val="center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024F7D" w:rsidRPr="00E61197" w:rsidRDefault="00024F7D" w:rsidP="006B6563">
            <w:pPr>
              <w:jc w:val="center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024F7D" w:rsidRPr="00E61197" w:rsidRDefault="00024F7D" w:rsidP="006B6563">
            <w:pPr>
              <w:jc w:val="center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Константа/</w:t>
            </w:r>
            <w:proofErr w:type="spellStart"/>
            <w:r w:rsidRPr="00E61197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:rsidR="00024F7D" w:rsidRPr="00E61197" w:rsidRDefault="00024F7D" w:rsidP="006B6563">
            <w:pPr>
              <w:jc w:val="center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024F7D" w:rsidRPr="00E61197" w:rsidRDefault="00024F7D" w:rsidP="006B6563">
            <w:pPr>
              <w:jc w:val="center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КО</w:t>
            </w:r>
          </w:p>
        </w:tc>
      </w:tr>
      <w:tr w:rsidR="00024F7D" w:rsidRPr="00E61197" w:rsidTr="006B6563">
        <w:trPr>
          <w:trHeight w:val="416"/>
        </w:trPr>
        <w:tc>
          <w:tcPr>
            <w:tcW w:w="1622" w:type="dxa"/>
            <w:vAlign w:val="center"/>
          </w:tcPr>
          <w:p w:rsidR="00024F7D" w:rsidRPr="00E61197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:rsidR="00024F7D" w:rsidRPr="00E61197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:rsidR="00024F7D" w:rsidRPr="00E61197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:rsidR="00024F7D" w:rsidRPr="00E61197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:rsidR="00024F7D" w:rsidRPr="00E61197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:rsidR="00024F7D" w:rsidRPr="00E61197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:rsidR="00024F7D" w:rsidRPr="00E61197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1197"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024F7D" w:rsidRPr="00E61197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0E46" w:rsidRPr="00E61197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E61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 w:rsidRPr="00E61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E61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730AE0" w:rsidRPr="0086681C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86681C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86681C">
        <w:rPr>
          <w:rFonts w:ascii="Times New Roman" w:hAnsi="Times New Roman"/>
          <w:szCs w:val="28"/>
        </w:rPr>
        <w:t xml:space="preserve"> </w:t>
      </w:r>
      <w:bookmarkEnd w:id="8"/>
    </w:p>
    <w:p w:rsidR="003C3198" w:rsidRDefault="003C3198" w:rsidP="00E549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Pr="003C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ч. 30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3198" w:rsidRDefault="003C3198" w:rsidP="00E549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AE0" w:rsidRPr="00E5496C" w:rsidRDefault="00730AE0" w:rsidP="00E5496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E54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5496C" w:rsidRPr="00E5496C">
        <w:rPr>
          <w:rFonts w:ascii="Times New Roman" w:hAnsi="Times New Roman" w:cs="Times New Roman"/>
          <w:b/>
          <w:sz w:val="28"/>
          <w:szCs w:val="28"/>
        </w:rPr>
        <w:t>Бронирование. Помощь гостю во время проживания.</w:t>
      </w:r>
    </w:p>
    <w:p w:rsidR="00730AE0" w:rsidRPr="00E5496C" w:rsidRDefault="00730AE0" w:rsidP="00E5496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96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5496C" w:rsidRPr="00E549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496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E5496C" w:rsidRPr="00E5496C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AA48EF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="00E5496C" w:rsidRPr="00E549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мин.</w:t>
      </w:r>
    </w:p>
    <w:p w:rsidR="00E5496C" w:rsidRPr="00E5496C" w:rsidRDefault="00730AE0" w:rsidP="00E5496C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96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549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5496C" w:rsidRPr="00E5496C" w:rsidRDefault="00E5496C" w:rsidP="00E5496C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5496C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E5496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5496C">
        <w:rPr>
          <w:rFonts w:ascii="Times New Roman" w:hAnsi="Times New Roman" w:cs="Times New Roman"/>
          <w:sz w:val="28"/>
          <w:szCs w:val="28"/>
        </w:rPr>
        <w:t xml:space="preserve">. </w:t>
      </w:r>
      <w:r w:rsidR="0086681C">
        <w:rPr>
          <w:rFonts w:ascii="Times New Roman" w:hAnsi="Times New Roman" w:cs="Times New Roman"/>
          <w:sz w:val="28"/>
          <w:szCs w:val="28"/>
        </w:rPr>
        <w:t xml:space="preserve">Бронирование. </w:t>
      </w:r>
      <w:r w:rsidR="003433C6" w:rsidRPr="003433C6">
        <w:rPr>
          <w:rFonts w:ascii="Times New Roman" w:hAnsi="Times New Roman" w:cs="Times New Roman"/>
          <w:sz w:val="28"/>
          <w:szCs w:val="28"/>
        </w:rPr>
        <w:t>Язык: ру</w:t>
      </w:r>
      <w:r w:rsidR="003433C6">
        <w:rPr>
          <w:rFonts w:ascii="Times New Roman" w:hAnsi="Times New Roman" w:cs="Times New Roman"/>
          <w:sz w:val="28"/>
          <w:szCs w:val="28"/>
        </w:rPr>
        <w:t>сский</w:t>
      </w:r>
      <w:r w:rsidRPr="00E5496C">
        <w:rPr>
          <w:rFonts w:ascii="Times New Roman" w:hAnsi="Times New Roman" w:cs="Times New Roman"/>
          <w:sz w:val="28"/>
          <w:szCs w:val="28"/>
        </w:rPr>
        <w:t>.</w:t>
      </w:r>
    </w:p>
    <w:p w:rsidR="003433C6" w:rsidRPr="00E5496C" w:rsidRDefault="00E5496C" w:rsidP="003433C6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5496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Start"/>
      <w:r w:rsidRPr="00E5496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E5496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6681C" w:rsidRPr="0086681C">
        <w:rPr>
          <w:rFonts w:ascii="Times New Roman" w:hAnsi="Times New Roman" w:cs="Times New Roman"/>
          <w:sz w:val="28"/>
          <w:szCs w:val="28"/>
        </w:rPr>
        <w:t>Помощь гостю во время проживания</w:t>
      </w:r>
      <w:r w:rsidRPr="00E5496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433C6" w:rsidRPr="003433C6">
        <w:rPr>
          <w:rFonts w:ascii="Times New Roman" w:hAnsi="Times New Roman" w:cs="Times New Roman"/>
          <w:sz w:val="28"/>
          <w:szCs w:val="28"/>
        </w:rPr>
        <w:t>Язык: ру</w:t>
      </w:r>
      <w:r w:rsidR="003433C6">
        <w:rPr>
          <w:rFonts w:ascii="Times New Roman" w:hAnsi="Times New Roman" w:cs="Times New Roman"/>
          <w:sz w:val="28"/>
          <w:szCs w:val="28"/>
        </w:rPr>
        <w:t>сский</w:t>
      </w:r>
      <w:r w:rsidR="003433C6" w:rsidRPr="00E5496C">
        <w:rPr>
          <w:rFonts w:ascii="Times New Roman" w:hAnsi="Times New Roman" w:cs="Times New Roman"/>
          <w:sz w:val="28"/>
          <w:szCs w:val="28"/>
        </w:rPr>
        <w:t>.</w:t>
      </w:r>
    </w:p>
    <w:p w:rsidR="00E5496C" w:rsidRPr="00E61197" w:rsidRDefault="00E5496C" w:rsidP="003433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3433C6" w:rsidRDefault="00730AE0" w:rsidP="003433C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43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343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3433C6" w:rsidRPr="00343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Выезд</w:t>
      </w:r>
      <w:r w:rsidR="003433C6" w:rsidRPr="003433C6">
        <w:rPr>
          <w:rFonts w:ascii="Times New Roman" w:hAnsi="Times New Roman" w:cs="Times New Roman"/>
          <w:b/>
          <w:sz w:val="28"/>
          <w:szCs w:val="28"/>
        </w:rPr>
        <w:t>. Помощь гостю во время проживания</w:t>
      </w:r>
      <w:r w:rsidR="003433C6" w:rsidRPr="003433C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730AE0" w:rsidRPr="003433C6" w:rsidRDefault="00730AE0" w:rsidP="003433C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433C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433C6" w:rsidRPr="003433C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3433C6" w:rsidRPr="003433C6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AA48EF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="003433C6" w:rsidRPr="003433C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</w:t>
      </w:r>
    </w:p>
    <w:p w:rsidR="00E5496C" w:rsidRPr="003433C6" w:rsidRDefault="00730AE0" w:rsidP="003433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3C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433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30AE0" w:rsidRPr="003433C6" w:rsidRDefault="00E5496C" w:rsidP="003433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3C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433C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433C6">
        <w:rPr>
          <w:rFonts w:ascii="Times New Roman" w:hAnsi="Times New Roman" w:cs="Times New Roman"/>
          <w:sz w:val="28"/>
          <w:szCs w:val="28"/>
        </w:rPr>
        <w:t>. Выезд + помощь гостю. Язык: английский</w:t>
      </w:r>
    </w:p>
    <w:p w:rsidR="00E5496C" w:rsidRPr="003433C6" w:rsidRDefault="00E5496C" w:rsidP="003433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3C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433C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433C6">
        <w:rPr>
          <w:rFonts w:ascii="Times New Roman" w:hAnsi="Times New Roman" w:cs="Times New Roman"/>
          <w:sz w:val="28"/>
          <w:szCs w:val="28"/>
        </w:rPr>
        <w:t xml:space="preserve">. </w:t>
      </w:r>
      <w:r w:rsidR="003433C6" w:rsidRPr="003433C6">
        <w:rPr>
          <w:rFonts w:ascii="Times New Roman" w:hAnsi="Times New Roman" w:cs="Times New Roman"/>
          <w:sz w:val="28"/>
          <w:szCs w:val="28"/>
        </w:rPr>
        <w:t>Помощь гостю во время проживания. Тур информация. Язык: английский</w:t>
      </w:r>
    </w:p>
    <w:p w:rsidR="00E5496C" w:rsidRPr="003433C6" w:rsidRDefault="00E5496C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0AE0" w:rsidRPr="003433C6" w:rsidRDefault="00730AE0" w:rsidP="003433C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43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343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3433C6" w:rsidRPr="003433C6">
        <w:rPr>
          <w:rFonts w:ascii="Times New Roman" w:hAnsi="Times New Roman" w:cs="Times New Roman"/>
          <w:b/>
          <w:sz w:val="28"/>
          <w:szCs w:val="28"/>
        </w:rPr>
        <w:t>Заезд по предварительной брони</w:t>
      </w:r>
      <w:r w:rsidR="003433C6" w:rsidRPr="003433C6">
        <w:rPr>
          <w:rFonts w:ascii="Tahoma" w:hAnsi="Tahoma" w:cs="Tahoma"/>
          <w:b/>
          <w:sz w:val="20"/>
          <w:szCs w:val="20"/>
        </w:rPr>
        <w:t xml:space="preserve">. </w:t>
      </w:r>
      <w:proofErr w:type="gramEnd"/>
    </w:p>
    <w:p w:rsidR="003433C6" w:rsidRPr="003433C6" w:rsidRDefault="003433C6" w:rsidP="003433C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433C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3433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40070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CC1E6F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547F68" w:rsidRPr="00F40070">
        <w:rPr>
          <w:rFonts w:ascii="Times New Roman" w:eastAsia="Times New Roman" w:hAnsi="Times New Roman" w:cs="Times New Roman"/>
          <w:bCs/>
          <w:i/>
          <w:sz w:val="28"/>
          <w:szCs w:val="28"/>
        </w:rPr>
        <w:t>0</w:t>
      </w:r>
      <w:r w:rsidRPr="003433C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</w:t>
      </w:r>
    </w:p>
    <w:p w:rsidR="003433C6" w:rsidRPr="003433C6" w:rsidRDefault="00730AE0" w:rsidP="003433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3C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433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433C6" w:rsidRDefault="003433C6" w:rsidP="003433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1. </w:t>
      </w:r>
      <w:r w:rsidRPr="003433C6">
        <w:rPr>
          <w:rFonts w:ascii="Times New Roman" w:hAnsi="Times New Roman" w:cs="Times New Roman"/>
          <w:sz w:val="28"/>
          <w:szCs w:val="28"/>
        </w:rPr>
        <w:t xml:space="preserve">Заезд </w:t>
      </w:r>
      <w:proofErr w:type="gramStart"/>
      <w:r w:rsidRPr="003433C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43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3C6">
        <w:rPr>
          <w:rFonts w:ascii="Times New Roman" w:hAnsi="Times New Roman" w:cs="Times New Roman"/>
          <w:sz w:val="28"/>
          <w:szCs w:val="28"/>
        </w:rPr>
        <w:t>предварительной</w:t>
      </w:r>
      <w:proofErr w:type="gramEnd"/>
      <w:r w:rsidRPr="003433C6">
        <w:rPr>
          <w:rFonts w:ascii="Times New Roman" w:hAnsi="Times New Roman" w:cs="Times New Roman"/>
          <w:sz w:val="28"/>
          <w:szCs w:val="28"/>
        </w:rPr>
        <w:t xml:space="preserve"> брони + тур информация. Язык: русский</w:t>
      </w:r>
    </w:p>
    <w:p w:rsidR="00CC1E6F" w:rsidRPr="00CC1E6F" w:rsidRDefault="00CC1E6F" w:rsidP="00CC1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6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C1E6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C1E6F">
        <w:rPr>
          <w:rFonts w:ascii="Times New Roman" w:hAnsi="Times New Roman" w:cs="Times New Roman"/>
          <w:sz w:val="28"/>
          <w:szCs w:val="28"/>
        </w:rPr>
        <w:t xml:space="preserve">. Экстраординарная ситуация. Язык: русский </w:t>
      </w:r>
    </w:p>
    <w:p w:rsidR="00CC1E6F" w:rsidRPr="003433C6" w:rsidRDefault="00CC1E6F" w:rsidP="003433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6681C" w:rsidRPr="0086681C" w:rsidRDefault="00730AE0" w:rsidP="008668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3433C6" w:rsidRPr="00866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866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6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681C" w:rsidRPr="0086681C">
        <w:rPr>
          <w:rFonts w:ascii="Times New Roman" w:hAnsi="Times New Roman" w:cs="Times New Roman"/>
          <w:b/>
          <w:sz w:val="28"/>
          <w:szCs w:val="28"/>
        </w:rPr>
        <w:t xml:space="preserve">Экстраординарная ситуация. </w:t>
      </w:r>
      <w:proofErr w:type="gramStart"/>
      <w:r w:rsidR="0086681C" w:rsidRPr="0086681C">
        <w:rPr>
          <w:rFonts w:ascii="Times New Roman" w:hAnsi="Times New Roman" w:cs="Times New Roman"/>
          <w:b/>
          <w:sz w:val="28"/>
          <w:szCs w:val="28"/>
        </w:rPr>
        <w:t>Заезд по предварительной брони.</w:t>
      </w:r>
      <w:proofErr w:type="gramEnd"/>
    </w:p>
    <w:p w:rsidR="00730AE0" w:rsidRPr="0086681C" w:rsidRDefault="00730AE0" w:rsidP="008668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81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6681C" w:rsidRPr="0086681C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CC1E6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6681C" w:rsidRPr="0086681C">
        <w:rPr>
          <w:rFonts w:ascii="Times New Roman" w:eastAsia="Times New Roman" w:hAnsi="Times New Roman" w:cs="Times New Roman"/>
          <w:bCs/>
          <w:sz w:val="28"/>
          <w:szCs w:val="28"/>
        </w:rPr>
        <w:t>0 мин</w:t>
      </w:r>
    </w:p>
    <w:p w:rsidR="0086681C" w:rsidRPr="0086681C" w:rsidRDefault="00730AE0" w:rsidP="008668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68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86681C" w:rsidRDefault="0086681C" w:rsidP="008668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C1E6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6681C">
        <w:rPr>
          <w:rFonts w:ascii="Times New Roman" w:hAnsi="Times New Roman" w:cs="Times New Roman"/>
          <w:sz w:val="28"/>
          <w:szCs w:val="28"/>
        </w:rPr>
        <w:t xml:space="preserve">. Заезд </w:t>
      </w:r>
      <w:proofErr w:type="gramStart"/>
      <w:r w:rsidRPr="008668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66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81C">
        <w:rPr>
          <w:rFonts w:ascii="Times New Roman" w:hAnsi="Times New Roman" w:cs="Times New Roman"/>
          <w:sz w:val="28"/>
          <w:szCs w:val="28"/>
        </w:rPr>
        <w:t>предварительной</w:t>
      </w:r>
      <w:proofErr w:type="gramEnd"/>
      <w:r w:rsidRPr="0086681C">
        <w:rPr>
          <w:rFonts w:ascii="Times New Roman" w:hAnsi="Times New Roman" w:cs="Times New Roman"/>
          <w:sz w:val="28"/>
          <w:szCs w:val="28"/>
        </w:rPr>
        <w:t xml:space="preserve"> брони + помощь гостю. Язык: английский </w:t>
      </w:r>
    </w:p>
    <w:p w:rsidR="0086681C" w:rsidRDefault="0086681C" w:rsidP="008668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681C" w:rsidRDefault="0086681C" w:rsidP="008668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866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6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66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Письменные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Бэк-офис</w:t>
      </w:r>
      <w:proofErr w:type="spellEnd"/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back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office</w:t>
      </w:r>
      <w:r w:rsidRPr="00E6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6681C" w:rsidRPr="0086681C" w:rsidRDefault="0086681C" w:rsidP="008668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81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668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668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часов </w:t>
      </w:r>
      <w:r w:rsidR="0045751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86681C">
        <w:rPr>
          <w:rFonts w:ascii="Times New Roman" w:eastAsia="Times New Roman" w:hAnsi="Times New Roman" w:cs="Times New Roman"/>
          <w:bCs/>
          <w:sz w:val="28"/>
          <w:szCs w:val="28"/>
        </w:rPr>
        <w:t>0 мин</w:t>
      </w:r>
    </w:p>
    <w:p w:rsidR="006A1165" w:rsidRPr="006A1165" w:rsidRDefault="0086681C" w:rsidP="006A11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1</w:t>
      </w:r>
      <w:r w:rsidR="006A1165"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коммерческого предложения</w:t>
      </w: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4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A1165"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час)</w:t>
      </w:r>
      <w:r w:rsidR="006A1165" w:rsidRPr="006A1165">
        <w:rPr>
          <w:rFonts w:ascii="Times New Roman" w:hAnsi="Times New Roman" w:cs="Times New Roman"/>
          <w:sz w:val="28"/>
          <w:szCs w:val="28"/>
        </w:rPr>
        <w:t xml:space="preserve"> Язык: английский </w:t>
      </w:r>
    </w:p>
    <w:p w:rsidR="006A1165" w:rsidRPr="006A1165" w:rsidRDefault="0086681C" w:rsidP="006A11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2</w:t>
      </w:r>
      <w:r w:rsidR="006A1165"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Ответ на жалобу гостя </w:t>
      </w: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4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A1165"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час)</w:t>
      </w:r>
      <w:r w:rsidR="006A1165" w:rsidRPr="006A1165">
        <w:rPr>
          <w:rFonts w:ascii="Times New Roman" w:hAnsi="Times New Roman" w:cs="Times New Roman"/>
          <w:sz w:val="28"/>
          <w:szCs w:val="28"/>
        </w:rPr>
        <w:t xml:space="preserve"> Язык: английский </w:t>
      </w:r>
    </w:p>
    <w:p w:rsidR="00547F68" w:rsidRPr="006A1165" w:rsidRDefault="00547F68" w:rsidP="00547F6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r w:rsidR="00B8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Задача на распределение номерного фонда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CB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6A1165">
        <w:rPr>
          <w:rFonts w:ascii="Times New Roman" w:hAnsi="Times New Roman" w:cs="Times New Roman"/>
          <w:sz w:val="28"/>
          <w:szCs w:val="28"/>
        </w:rPr>
        <w:t>Язык: русский</w:t>
      </w:r>
    </w:p>
    <w:p w:rsidR="00EB421C" w:rsidRPr="006A1165" w:rsidRDefault="00EB421C" w:rsidP="00EB421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KPI (1 час 30 мин.) </w:t>
      </w:r>
      <w:r w:rsidRPr="006A1165">
        <w:rPr>
          <w:rFonts w:ascii="Times New Roman" w:hAnsi="Times New Roman" w:cs="Times New Roman"/>
          <w:sz w:val="28"/>
          <w:szCs w:val="28"/>
        </w:rPr>
        <w:t>Язык: русский</w:t>
      </w:r>
    </w:p>
    <w:p w:rsidR="0086681C" w:rsidRPr="006A1165" w:rsidRDefault="0086681C" w:rsidP="006A116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r w:rsidR="00EB4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Расписание СПИР </w:t>
      </w:r>
      <w:r w:rsidR="006A1165"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</w:t>
      </w:r>
      <w:r w:rsidR="00CB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851"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мин.</w:t>
      </w:r>
      <w:r w:rsidR="006A1165"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A1165" w:rsidRPr="006A1165">
        <w:rPr>
          <w:rFonts w:ascii="Times New Roman" w:hAnsi="Times New Roman" w:cs="Times New Roman"/>
          <w:sz w:val="28"/>
          <w:szCs w:val="28"/>
        </w:rPr>
        <w:t>Язык: русский</w:t>
      </w:r>
    </w:p>
    <w:p w:rsidR="0086681C" w:rsidRPr="0086681C" w:rsidRDefault="0086681C" w:rsidP="006A11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A1165"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A1165"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ночного аудита</w:t>
      </w:r>
      <w:r w:rsidR="006A1165"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</w:t>
      </w:r>
      <w:r w:rsidR="0041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8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часть</w:t>
      </w:r>
      <w:r w:rsidR="0041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+</w:t>
      </w: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</w:t>
      </w:r>
      <w:proofErr w:type="gramStart"/>
      <w:r w:rsidR="00F4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A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защита)</w:t>
      </w:r>
      <w:r w:rsidR="006A1165" w:rsidRPr="006A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A1165" w:rsidRPr="006A1165">
        <w:rPr>
          <w:rFonts w:ascii="Times New Roman" w:hAnsi="Times New Roman" w:cs="Times New Roman"/>
          <w:sz w:val="28"/>
          <w:szCs w:val="28"/>
        </w:rPr>
        <w:t>Язык: русский</w:t>
      </w:r>
    </w:p>
    <w:p w:rsidR="00730AE0" w:rsidRPr="00E61197" w:rsidRDefault="00730AE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010" w:rsidRPr="00E61197" w:rsidRDefault="00B61010" w:rsidP="00B61010">
      <w:pPr>
        <w:pStyle w:val="-2"/>
        <w:rPr>
          <w:rFonts w:ascii="Times New Roman" w:hAnsi="Times New Roman"/>
        </w:rPr>
      </w:pPr>
      <w:bookmarkStart w:id="9" w:name="_Toc78885643"/>
      <w:bookmarkStart w:id="10" w:name="_Toc126654138"/>
      <w:r w:rsidRPr="00E61197">
        <w:rPr>
          <w:rFonts w:ascii="Times New Roman" w:hAnsi="Times New Roman"/>
        </w:rPr>
        <w:t>2. СПЕЦИАЛЬНЫЕ ПРАВИЛА КОМПЕТЕНЦИИ</w:t>
      </w:r>
      <w:r w:rsidRPr="00E6119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9"/>
      <w:bookmarkEnd w:id="10"/>
    </w:p>
    <w:p w:rsidR="00B61010" w:rsidRPr="00E61197" w:rsidRDefault="00B61010" w:rsidP="00B610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Изложенные ниже правила распространяются на основную категорию и категорию юниоров 14+.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Чемпионат по компетенции «Администрирование отеля» представляет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собой моделирование рабочей смены администратора/старшего смены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состоит из двух частей: интерактивная - взаимодействие с гостями непосредственно на стойке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и зоне лобби отеля; письменная – деловая переписка, распределение номерного фонда, работа с отчетами ночного аудита, вычисление основных показателей работы отеля в зоне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Back-office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Задания являются тайными. Для интерактивной части контекст заданий становится доступен конкурсантам непосредственно во время взаимодействия с актерами. На ознакомление с заданиями письменной части конкурсантам дается 15 минут. Это время не учитывается как время выполнения задания.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Приблизительно 50% заданий выполняются на английском языке. 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АКТЕРОВ.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ГЭ необходимо самостоятельно или с помощью представителя площадки (далее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супервайзера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актеров) начать </w:t>
      </w:r>
      <w:r w:rsidR="008967B5">
        <w:rPr>
          <w:rFonts w:ascii="Times New Roman" w:hAnsi="Times New Roman" w:cs="Times New Roman"/>
          <w:color w:val="000000"/>
          <w:sz w:val="28"/>
          <w:szCs w:val="28"/>
        </w:rPr>
        <w:t xml:space="preserve">подбор и 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статистов-актеров, привлеченных для чемпионата по компетенции. Актеры, получив сценарий, обязуются хранить в тайне любой контекст заданий. Актеры, получившие задания на английском языке, должны владеть им на уровне не ниже </w:t>
      </w:r>
      <w:r w:rsidRPr="00E61197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61197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>1). При установленном факте разглашения контекста заданий конкурсантам или экспертам результаты определенного участника могут быть аннулированы, равно как и результаты чемпионата в зависимости от ситуации.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инструкции для актеров изложены в сценарии. 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КОНКУРСАНТЫ.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В зоне стойки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конкурсанты выполняют модули последовательно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один за другим согласно жеребьевке (</w:t>
      </w:r>
      <w:proofErr w:type="gram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E61197">
        <w:rPr>
          <w:rFonts w:ascii="Times New Roman" w:hAnsi="Times New Roman" w:cs="Times New Roman"/>
          <w:color w:val="000000"/>
          <w:sz w:val="28"/>
          <w:szCs w:val="28"/>
        </w:rPr>
        <w:t>. план проведения чемпионата по компетенции).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В ожидании своей очереди выхода на площадку стойки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конкурсанты находятся в комнате ожидания участников № 1. На площадку конкурсанта провожает волонтер. Все передвижения конкурсанта до выполнения всех заданий до обеда и после обеда осуществляются в сопровождении волонтера. В обеих комнатах ожидания и на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площадке для выполнения письменных заданий должен присутствовать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волонтер или эксперт из числа экспертов-наставников, контролирующий отсутствие у конкурсантов запрещенных предметов общения на предмет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контекста конкурсных заданий</w:t>
      </w:r>
      <w:proofErr w:type="gram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Когда все конкурсанты </w:t>
      </w:r>
      <w:proofErr w:type="gram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находятся в комнате ожидания и у экспертов наставников нет</w:t>
      </w:r>
      <w:proofErr w:type="gram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с ними контактировать ГЭ/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супервайзер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оценочной группы озвучивает контекст заданий оценочной группе и экспертам-наставникам, находящимся на площадке. 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Перед выполнением модуля ГЭ/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супервайзер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оценочной группы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оглашает участнику количество заданий в модуле и время на их выполнение.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Конкурсанту дается одна минута, чтобы подготовится к выполнению модуля. По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истечении одной минуты или после того как конкурсант будет готов, дается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старт отсчета времени на площадке появляются актеры. 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Если актер совершает ошибку, которая препятствует дальнейшему развитию ситуации/оценке аспектов, то ГЭ /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супервайзер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оценочной группы должен попросить остановить отсчет времени, поправить актера таким образом, чтобы участник не знал дальнейшего контекста ситуации, затем дать сигнал к возобновлению отсчета времени. Копия сценария должна находиться у ответственного лица на руках.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После выполнения каждого задания в модуле, участнику необходимо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сообщить экспертам о готовности к выполнению следующего задания. С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момента начала выполнения следующего задания, возврат к предыдущему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заданию в работе с гостем невозможен. 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После возвращения с площадки интерактивных модулей конкурсанты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возвращаются в комнату ожидания № 2, затем, когда наступает их смена (</w:t>
      </w:r>
      <w:proofErr w:type="gram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. план проведения чемпионата по компетенции), конкурсанты направляются на площадку для выполнения письменных заданий. Конкурсанты первой смены интерактивной площадки, не выполнившие модуль к этому времени, могут по мере выполнения ими модулей присоединяться к конкурсантам на площадке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back-office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>, при необходимости предварительно взяв перерыв до 20 мин.; в данном случае старт отсчета времени конкурсантом дается индивидуально.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На площадке для выполнения письменных заданий конкурсанты могут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работать все как вместе, так и посменно (</w:t>
      </w:r>
      <w:proofErr w:type="gram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E61197">
        <w:rPr>
          <w:rFonts w:ascii="Times New Roman" w:hAnsi="Times New Roman" w:cs="Times New Roman"/>
          <w:color w:val="000000"/>
          <w:sz w:val="28"/>
          <w:szCs w:val="28"/>
        </w:rPr>
        <w:t>. план проведения чемпионата по компетенции).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Перед началом модуля ГЭ /ответственный эксперт, назначенный ГЭ, проводят инструктаж по выполнению заданий и дают старт отсчета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времени.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После завершения выполнения письменных заданий первой сменой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конкурсантов и их возвращения в комнату ожидания № 1.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У конкурсантов, выполнивших все задания до обеда, наступает свободное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время. В это время наблюдать за соперниками запрещено.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Если по каким-то причинам не все участники успели выполнить модуль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до обеденного перерыва, то во время обеденного перерыва конкурсантам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запрещено общаться со своими экспертами-компатриотами. На обед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конкурсанты и их компатриоты обязаны идти в сопровождении эксперта-компатриота другого участника. Конкурсанты, выполнившие все задания 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чемпионатного дня, могут покидать площадку компетенции. Наблюдать за соперниками запрещено.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ЭКСПЕРТЫ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Экспертам-наставникам запрещено делать фотографии и видеозаписи конкурсантов во время выполнения заданий.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Эксперты, производящие оценку аспектов на английском языке, должны владеть им на уровне не ниже </w:t>
      </w:r>
      <w:r w:rsidRPr="00E61197">
        <w:rPr>
          <w:rFonts w:ascii="Times New Roman" w:hAnsi="Times New Roman" w:cs="Times New Roman"/>
          <w:color w:val="000000"/>
          <w:sz w:val="28"/>
          <w:szCs w:val="28"/>
          <w:lang w:val="en-US"/>
        </w:rPr>
        <w:t>upper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61197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61197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>2) либо могут быть привлечены преподаватели английского языка в качестве консультантов. Данные консультанты в голосованиях экспертов не принимают участия.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1010" w:rsidRPr="00E61197" w:rsidRDefault="00B61010" w:rsidP="00E611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197">
        <w:rPr>
          <w:rFonts w:ascii="Times New Roman" w:hAnsi="Times New Roman" w:cs="Times New Roman"/>
          <w:color w:val="000000"/>
          <w:sz w:val="28"/>
          <w:szCs w:val="28"/>
        </w:rPr>
        <w:t>Конкурсантам разрешено приносить с собой англо-русский словарь в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br/>
        <w:t>печатном виде и</w:t>
      </w:r>
      <w:r w:rsidR="003433C6">
        <w:rPr>
          <w:rFonts w:ascii="Times New Roman" w:hAnsi="Times New Roman" w:cs="Times New Roman"/>
          <w:color w:val="000000"/>
          <w:sz w:val="28"/>
          <w:szCs w:val="28"/>
        </w:rPr>
        <w:t xml:space="preserve"> карты города, полученные от ГЭ</w:t>
      </w:r>
      <w:r w:rsidRPr="00E61197">
        <w:rPr>
          <w:rFonts w:ascii="Times New Roman" w:hAnsi="Times New Roman" w:cs="Times New Roman"/>
          <w:color w:val="000000"/>
          <w:sz w:val="28"/>
          <w:szCs w:val="28"/>
        </w:rPr>
        <w:t xml:space="preserve"> в подготовительный день для конкурсантов. Использование </w:t>
      </w:r>
      <w:proofErr w:type="spellStart"/>
      <w:r w:rsidRPr="00E61197">
        <w:rPr>
          <w:rFonts w:ascii="Times New Roman" w:hAnsi="Times New Roman" w:cs="Times New Roman"/>
          <w:color w:val="000000"/>
          <w:sz w:val="28"/>
          <w:szCs w:val="28"/>
        </w:rPr>
        <w:t>флеш-накопителей</w:t>
      </w:r>
      <w:proofErr w:type="spellEnd"/>
      <w:r w:rsidRPr="00E61197">
        <w:rPr>
          <w:rFonts w:ascii="Times New Roman" w:hAnsi="Times New Roman" w:cs="Times New Roman"/>
          <w:color w:val="000000"/>
          <w:sz w:val="28"/>
          <w:szCs w:val="28"/>
        </w:rPr>
        <w:t>/карт памяти запрещено для всех, кроме ГЭ ответственных и назначенных ГЭ экспертов.</w:t>
      </w:r>
    </w:p>
    <w:p w:rsidR="00E61197" w:rsidRPr="00E61197" w:rsidRDefault="00E61197" w:rsidP="00E6119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 w:val="0"/>
          <w:szCs w:val="28"/>
        </w:rPr>
      </w:pPr>
      <w:bookmarkStart w:id="11" w:name="_Toc78885660"/>
      <w:bookmarkStart w:id="12" w:name="_Toc126654140"/>
      <w:r w:rsidRPr="00E61197">
        <w:rPr>
          <w:rFonts w:ascii="Times New Roman" w:hAnsi="Times New Roman"/>
          <w:b w:val="0"/>
        </w:rPr>
        <w:t>Материалы, оборудование и инструменты, запрещенные на площадке</w:t>
      </w:r>
      <w:bookmarkEnd w:id="11"/>
      <w:bookmarkEnd w:id="12"/>
      <w:r w:rsidRPr="00E61197">
        <w:rPr>
          <w:rFonts w:ascii="Times New Roman" w:hAnsi="Times New Roman"/>
          <w:b w:val="0"/>
          <w:caps/>
        </w:rPr>
        <w:t xml:space="preserve">: </w:t>
      </w:r>
      <w:r w:rsidRPr="00E61197">
        <w:rPr>
          <w:rFonts w:ascii="Times New Roman" w:hAnsi="Times New Roman"/>
          <w:b w:val="0"/>
          <w:color w:val="1A1A1A"/>
          <w:szCs w:val="28"/>
          <w:shd w:val="clear" w:color="auto" w:fill="FFFFFF"/>
        </w:rPr>
        <w:t>любое оборудование, не предусмотренное ИЛ.</w:t>
      </w:r>
      <w:r w:rsidRPr="00E61197">
        <w:rPr>
          <w:rFonts w:ascii="Times New Roman" w:hAnsi="Times New Roman"/>
          <w:b w:val="0"/>
          <w:szCs w:val="28"/>
        </w:rPr>
        <w:t xml:space="preserve"> </w:t>
      </w:r>
    </w:p>
    <w:p w:rsidR="00E61197" w:rsidRPr="00E61197" w:rsidRDefault="00E61197" w:rsidP="00E6119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61197">
        <w:rPr>
          <w:rFonts w:ascii="Times New Roman" w:hAnsi="Times New Roman"/>
          <w:b w:val="0"/>
          <w:color w:val="000000"/>
          <w:szCs w:val="28"/>
        </w:rPr>
        <w:t>Шаблоны писем, заготовки заданий, шпаргалки и прочие записи в электронном и печатном виде запрещены.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1010" w:rsidRPr="00E61197" w:rsidRDefault="00B61010" w:rsidP="00B61010">
      <w:pPr>
        <w:pStyle w:val="-2"/>
        <w:rPr>
          <w:rFonts w:ascii="Times New Roman" w:hAnsi="Times New Roman"/>
          <w:caps/>
        </w:rPr>
      </w:pPr>
      <w:bookmarkStart w:id="13" w:name="_Toc78885659"/>
      <w:bookmarkStart w:id="14" w:name="_Toc126654139"/>
      <w:r w:rsidRPr="00E61197">
        <w:rPr>
          <w:rFonts w:ascii="Times New Roman" w:hAnsi="Times New Roman"/>
          <w:caps/>
          <w:color w:val="000000"/>
        </w:rPr>
        <w:t xml:space="preserve">2.1. </w:t>
      </w:r>
      <w:bookmarkEnd w:id="13"/>
      <w:r w:rsidRPr="00E61197">
        <w:rPr>
          <w:rFonts w:ascii="Times New Roman" w:hAnsi="Times New Roman"/>
          <w:caps/>
        </w:rPr>
        <w:t>Личный инструмент конкурсанта.</w:t>
      </w:r>
      <w:bookmarkEnd w:id="14"/>
      <w:r w:rsidRPr="00E61197">
        <w:rPr>
          <w:rFonts w:ascii="Times New Roman" w:hAnsi="Times New Roman"/>
          <w:caps/>
        </w:rPr>
        <w:t xml:space="preserve"> </w:t>
      </w:r>
    </w:p>
    <w:p w:rsidR="00B61010" w:rsidRPr="00E61197" w:rsidRDefault="00B61010" w:rsidP="00B610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Личный инструмент нулевой. Ниже изложены требования к внешнему виду конкурсантов.</w:t>
      </w:r>
    </w:p>
    <w:p w:rsidR="00B61010" w:rsidRPr="00E61197" w:rsidRDefault="00B61010" w:rsidP="00B6101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Мужчины: темный пиджак, брюки классические со стрелкой (одного цвета и ткани с пиджаком) белая рубашка с длинными рукавами, галстук, ремень без декоративного орнамента и классической пряжкой без изображений и логотипов на ней, носки темные, начищенные темные туфли без ярких выделяющихся элементов декора, идентификационная информация участника на груди в виде </w:t>
      </w:r>
      <w:proofErr w:type="spellStart"/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бейджа</w:t>
      </w:r>
      <w:proofErr w:type="spellEnd"/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содержащая следующую информацию: фамилия, имя, регион, поле для указания порядкового</w:t>
      </w:r>
      <w:proofErr w:type="gramEnd"/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номера согласно жеребьевке. Короткие и чистые ногти, короткие волосы либо классическая мужская стрижка, </w:t>
      </w:r>
      <w:r w:rsidRPr="00E61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гладко </w:t>
      </w:r>
      <w:proofErr w:type="gramStart"/>
      <w:r w:rsidRPr="00E61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выбритый</w:t>
      </w:r>
      <w:proofErr w:type="gramEnd"/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Не допускается ноше</w:t>
      </w:r>
      <w:r w:rsidRPr="00E61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</w:t>
      </w:r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украшений, кроме обручального кольца. Допускается ношение классических часов. Конкурсант обязан соблюдать чистоту и выглядеть опрятно.</w:t>
      </w:r>
    </w:p>
    <w:p w:rsidR="00B61010" w:rsidRPr="00E61197" w:rsidRDefault="00B61010" w:rsidP="00B6101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Женщины: темный пиджак, брюки классические со стрелкой/юбка (одного цвета и ткани с пиджаком), рубашка с длинными рукавами, шарф, </w:t>
      </w:r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прозрачные колготки или чулки, темные начищенные туфли, идентификационная информация участника на груди в виде </w:t>
      </w:r>
      <w:proofErr w:type="spellStart"/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бейджа</w:t>
      </w:r>
      <w:proofErr w:type="spellEnd"/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содержащая следующую информацию: фамилия, имя, регион, поле для указания порядкового номера согласно жеребьевке. Юбка не должна быть выше колен. Разрез на юбке разрешен, поскольку облегчает движения, но должен быть не выше колен. Избегайте ярких цветов в одежде и аксессуарах, придерживаясь коричневых, черных или темно-серых оттенков. Ношение белых туфель недопустимо. Предпочтительным материалом для туфель является кожа, темный текстиль или </w:t>
      </w:r>
      <w:proofErr w:type="spellStart"/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микрофибра</w:t>
      </w:r>
      <w:proofErr w:type="spellEnd"/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Высокие каблуки неприемлемы, высота каблука должна варьироваться от 3 до 5 см. Неприемлемо ношение балеток на плоской подошве, сандалий и туфель на шпильке. Не допускается ношение туфель с открытым носком, массивным каблуком и туфель на платформе. Ногти короткие и ухоженные, маникюр – нейтральные цвета или френч, короткие волосы (до подбородка) или собранные в пучок, серьги маленькие без висящих деталей и ярких камней, без колец (кроме обручального кольца) и ожерелий. Макияж нейтральный, легкий. Конкурсант обязан соблюдать чистоту</w:t>
      </w:r>
    </w:p>
    <w:p w:rsidR="00B61010" w:rsidRPr="00E61197" w:rsidRDefault="00B61010" w:rsidP="00B6101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1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выглядеть опрятно.</w:t>
      </w:r>
    </w:p>
    <w:p w:rsidR="00B61010" w:rsidRPr="00E61197" w:rsidRDefault="00B61010" w:rsidP="00B6101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1010" w:rsidRPr="00E61197" w:rsidRDefault="00B61010" w:rsidP="00B61010">
      <w:pPr>
        <w:pStyle w:val="-2"/>
        <w:rPr>
          <w:rFonts w:ascii="Times New Roman" w:hAnsi="Times New Roman"/>
        </w:rPr>
      </w:pPr>
      <w:bookmarkStart w:id="15" w:name="_Toc126654141"/>
      <w:r w:rsidRPr="00E61197">
        <w:rPr>
          <w:rFonts w:ascii="Times New Roman" w:hAnsi="Times New Roman"/>
        </w:rPr>
        <w:t>3. Приложения</w:t>
      </w:r>
      <w:bookmarkEnd w:id="15"/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«Администрирование отеля».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 xml:space="preserve">Приложение №5 Сценарий 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Приложение №6 Письменные задания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Приложение №7 План проведения чемпионата</w:t>
      </w:r>
    </w:p>
    <w:p w:rsidR="00B61010" w:rsidRPr="00E61197" w:rsidRDefault="00B61010" w:rsidP="00B610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97">
        <w:rPr>
          <w:rFonts w:ascii="Times New Roman" w:hAnsi="Times New Roman" w:cs="Times New Roman"/>
          <w:sz w:val="28"/>
          <w:szCs w:val="28"/>
        </w:rPr>
        <w:t>Приложение №8 Информационный буклет отеля</w:t>
      </w:r>
    </w:p>
    <w:p w:rsidR="00B61010" w:rsidRPr="00E61197" w:rsidRDefault="00B61010" w:rsidP="00B61010">
      <w:pPr>
        <w:pStyle w:val="-2"/>
        <w:rPr>
          <w:rFonts w:ascii="Times New Roman" w:hAnsi="Times New Roman"/>
          <w:szCs w:val="28"/>
        </w:rPr>
      </w:pPr>
    </w:p>
    <w:p w:rsidR="002B3DBB" w:rsidRPr="00E61197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E61197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7D4" w:rsidRDefault="005B27D4" w:rsidP="00970F49">
      <w:pPr>
        <w:spacing w:after="0" w:line="240" w:lineRule="auto"/>
      </w:pPr>
      <w:r>
        <w:separator/>
      </w:r>
    </w:p>
  </w:endnote>
  <w:endnote w:type="continuationSeparator" w:id="0">
    <w:p w:rsidR="005B27D4" w:rsidRDefault="005B27D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7D4" w:rsidRDefault="005B27D4" w:rsidP="00970F49">
      <w:pPr>
        <w:spacing w:after="0" w:line="240" w:lineRule="auto"/>
      </w:pPr>
      <w:r>
        <w:separator/>
      </w:r>
    </w:p>
  </w:footnote>
  <w:footnote w:type="continuationSeparator" w:id="0">
    <w:p w:rsidR="005B27D4" w:rsidRDefault="005B27D4" w:rsidP="00970F49">
      <w:pPr>
        <w:spacing w:after="0" w:line="240" w:lineRule="auto"/>
      </w:pPr>
      <w:r>
        <w:continuationSeparator/>
      </w:r>
    </w:p>
  </w:footnote>
  <w:footnote w:id="1">
    <w:p w:rsidR="009D2CBB" w:rsidRDefault="009D2CB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9D2CBB" w:rsidRDefault="009D2CBB" w:rsidP="00B61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8C2AE5"/>
    <w:multiLevelType w:val="hybridMultilevel"/>
    <w:tmpl w:val="517ED60E"/>
    <w:lvl w:ilvl="0" w:tplc="63286D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62F65"/>
    <w:multiLevelType w:val="hybridMultilevel"/>
    <w:tmpl w:val="121AD456"/>
    <w:lvl w:ilvl="0" w:tplc="A300D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1"/>
  </w:num>
  <w:num w:numId="13">
    <w:abstractNumId w:val="21"/>
  </w:num>
  <w:num w:numId="14">
    <w:abstractNumId w:val="12"/>
  </w:num>
  <w:num w:numId="15">
    <w:abstractNumId w:val="19"/>
  </w:num>
  <w:num w:numId="16">
    <w:abstractNumId w:val="23"/>
  </w:num>
  <w:num w:numId="17">
    <w:abstractNumId w:val="20"/>
  </w:num>
  <w:num w:numId="18">
    <w:abstractNumId w:val="17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2"/>
  </w:num>
  <w:num w:numId="24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12DAF"/>
    <w:rsid w:val="00021CCE"/>
    <w:rsid w:val="000244DA"/>
    <w:rsid w:val="00024F7D"/>
    <w:rsid w:val="00041A78"/>
    <w:rsid w:val="000472B6"/>
    <w:rsid w:val="00054C98"/>
    <w:rsid w:val="00056CDE"/>
    <w:rsid w:val="00067386"/>
    <w:rsid w:val="0008113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27743"/>
    <w:rsid w:val="00133ED5"/>
    <w:rsid w:val="00137545"/>
    <w:rsid w:val="0015561E"/>
    <w:rsid w:val="001627D5"/>
    <w:rsid w:val="00162FCC"/>
    <w:rsid w:val="001714EC"/>
    <w:rsid w:val="0017612A"/>
    <w:rsid w:val="00192F36"/>
    <w:rsid w:val="001B4B65"/>
    <w:rsid w:val="001C63E7"/>
    <w:rsid w:val="001D0C13"/>
    <w:rsid w:val="001E1DF9"/>
    <w:rsid w:val="001F6E20"/>
    <w:rsid w:val="0021483A"/>
    <w:rsid w:val="00220E70"/>
    <w:rsid w:val="00237603"/>
    <w:rsid w:val="00246EED"/>
    <w:rsid w:val="00247E8C"/>
    <w:rsid w:val="00270E01"/>
    <w:rsid w:val="002776A1"/>
    <w:rsid w:val="0029547E"/>
    <w:rsid w:val="002B1426"/>
    <w:rsid w:val="002B3DBB"/>
    <w:rsid w:val="002D6507"/>
    <w:rsid w:val="002F2906"/>
    <w:rsid w:val="003242E1"/>
    <w:rsid w:val="00333911"/>
    <w:rsid w:val="00334165"/>
    <w:rsid w:val="003433C6"/>
    <w:rsid w:val="003531E7"/>
    <w:rsid w:val="003601A4"/>
    <w:rsid w:val="0037535C"/>
    <w:rsid w:val="003934F8"/>
    <w:rsid w:val="00397A1B"/>
    <w:rsid w:val="003A21C8"/>
    <w:rsid w:val="003C1D7A"/>
    <w:rsid w:val="003C3198"/>
    <w:rsid w:val="003C5F97"/>
    <w:rsid w:val="003D1E51"/>
    <w:rsid w:val="00410750"/>
    <w:rsid w:val="004254FE"/>
    <w:rsid w:val="00436FFC"/>
    <w:rsid w:val="00437D28"/>
    <w:rsid w:val="0044354A"/>
    <w:rsid w:val="00454353"/>
    <w:rsid w:val="0045751F"/>
    <w:rsid w:val="00461AC6"/>
    <w:rsid w:val="0047429B"/>
    <w:rsid w:val="004904C5"/>
    <w:rsid w:val="004917C4"/>
    <w:rsid w:val="0049318A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4404"/>
    <w:rsid w:val="00524EF8"/>
    <w:rsid w:val="00532B18"/>
    <w:rsid w:val="00547F68"/>
    <w:rsid w:val="00554CBB"/>
    <w:rsid w:val="005560AC"/>
    <w:rsid w:val="00557CC0"/>
    <w:rsid w:val="0056194A"/>
    <w:rsid w:val="00565B7C"/>
    <w:rsid w:val="005A1625"/>
    <w:rsid w:val="005A203B"/>
    <w:rsid w:val="005B05D5"/>
    <w:rsid w:val="005B0B80"/>
    <w:rsid w:val="005B0DEC"/>
    <w:rsid w:val="005B27D4"/>
    <w:rsid w:val="005B66FC"/>
    <w:rsid w:val="005C6A23"/>
    <w:rsid w:val="005E30DC"/>
    <w:rsid w:val="005F14CF"/>
    <w:rsid w:val="005F25B3"/>
    <w:rsid w:val="00605DD7"/>
    <w:rsid w:val="0060658F"/>
    <w:rsid w:val="00613219"/>
    <w:rsid w:val="0062789A"/>
    <w:rsid w:val="0063396F"/>
    <w:rsid w:val="00640E46"/>
    <w:rsid w:val="0064179C"/>
    <w:rsid w:val="006436B8"/>
    <w:rsid w:val="00643A72"/>
    <w:rsid w:val="00643A8A"/>
    <w:rsid w:val="0064491A"/>
    <w:rsid w:val="00653B50"/>
    <w:rsid w:val="00666BDD"/>
    <w:rsid w:val="006776B4"/>
    <w:rsid w:val="006873B8"/>
    <w:rsid w:val="006A1165"/>
    <w:rsid w:val="006A1B92"/>
    <w:rsid w:val="006B0FEA"/>
    <w:rsid w:val="006B3541"/>
    <w:rsid w:val="006B6563"/>
    <w:rsid w:val="006C6D6D"/>
    <w:rsid w:val="006C7A3B"/>
    <w:rsid w:val="006C7CE4"/>
    <w:rsid w:val="006F4464"/>
    <w:rsid w:val="00710905"/>
    <w:rsid w:val="00714CA4"/>
    <w:rsid w:val="00724B6E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3C82"/>
    <w:rsid w:val="007D6C20"/>
    <w:rsid w:val="007E73B4"/>
    <w:rsid w:val="008028C5"/>
    <w:rsid w:val="00812516"/>
    <w:rsid w:val="00832EBB"/>
    <w:rsid w:val="00834734"/>
    <w:rsid w:val="00835BF6"/>
    <w:rsid w:val="0086681C"/>
    <w:rsid w:val="008761F3"/>
    <w:rsid w:val="008801E8"/>
    <w:rsid w:val="00881DD2"/>
    <w:rsid w:val="00882B54"/>
    <w:rsid w:val="008912AE"/>
    <w:rsid w:val="008967B5"/>
    <w:rsid w:val="008A622F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575F"/>
    <w:rsid w:val="009203A8"/>
    <w:rsid w:val="0094253E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D2CBB"/>
    <w:rsid w:val="009E23FC"/>
    <w:rsid w:val="009E37D3"/>
    <w:rsid w:val="009E52E7"/>
    <w:rsid w:val="009F57C0"/>
    <w:rsid w:val="00A0510D"/>
    <w:rsid w:val="00A11569"/>
    <w:rsid w:val="00A16153"/>
    <w:rsid w:val="00A204BB"/>
    <w:rsid w:val="00A20A67"/>
    <w:rsid w:val="00A27EE4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48EF"/>
    <w:rsid w:val="00AD2200"/>
    <w:rsid w:val="00AE6AB7"/>
    <w:rsid w:val="00AE7A32"/>
    <w:rsid w:val="00B13835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0B54"/>
    <w:rsid w:val="00B61010"/>
    <w:rsid w:val="00B610A2"/>
    <w:rsid w:val="00B876D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1B2C"/>
    <w:rsid w:val="00CA6CCD"/>
    <w:rsid w:val="00CB3851"/>
    <w:rsid w:val="00CC1E6F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7DC"/>
    <w:rsid w:val="00D617CC"/>
    <w:rsid w:val="00D804E4"/>
    <w:rsid w:val="00D82186"/>
    <w:rsid w:val="00D87A1E"/>
    <w:rsid w:val="00DE39D8"/>
    <w:rsid w:val="00DE5614"/>
    <w:rsid w:val="00E0407E"/>
    <w:rsid w:val="00E04FDF"/>
    <w:rsid w:val="00E15F2A"/>
    <w:rsid w:val="00E279E8"/>
    <w:rsid w:val="00E5496C"/>
    <w:rsid w:val="00E56FFC"/>
    <w:rsid w:val="00E579D6"/>
    <w:rsid w:val="00E61197"/>
    <w:rsid w:val="00E75567"/>
    <w:rsid w:val="00E857D6"/>
    <w:rsid w:val="00EA0163"/>
    <w:rsid w:val="00EA0C3A"/>
    <w:rsid w:val="00EA30C6"/>
    <w:rsid w:val="00EB2779"/>
    <w:rsid w:val="00EB421C"/>
    <w:rsid w:val="00ED18F9"/>
    <w:rsid w:val="00ED53C9"/>
    <w:rsid w:val="00EE7DA3"/>
    <w:rsid w:val="00F1662D"/>
    <w:rsid w:val="00F3018A"/>
    <w:rsid w:val="00F3099C"/>
    <w:rsid w:val="00F35F4F"/>
    <w:rsid w:val="00F40070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D20DE"/>
    <w:rsid w:val="00FE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B61010"/>
    <w:rPr>
      <w:i/>
      <w:iCs/>
    </w:rPr>
  </w:style>
  <w:style w:type="character" w:customStyle="1" w:styleId="markedcontent">
    <w:name w:val="markedcontent"/>
    <w:basedOn w:val="a2"/>
    <w:rsid w:val="00915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9DB2-5994-4058-A36E-7D15CEF5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19</Pages>
  <Words>4709</Words>
  <Characters>26845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17</cp:lastModifiedBy>
  <cp:revision>11</cp:revision>
  <dcterms:created xsi:type="dcterms:W3CDTF">2023-06-01T11:12:00Z</dcterms:created>
  <dcterms:modified xsi:type="dcterms:W3CDTF">2023-06-07T09:53:00Z</dcterms:modified>
</cp:coreProperties>
</file>