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1EDDF8CD" w:rsidR="00B610A2" w:rsidRPr="00DA75E0" w:rsidRDefault="00B610A2" w:rsidP="00B610A2">
                <w:pPr>
                  <w:spacing w:line="360" w:lineRule="auto"/>
                  <w:rPr>
                    <w:b/>
                  </w:rPr>
                </w:pPr>
                <w:r w:rsidRPr="00DA75E0">
                  <w:rPr>
                    <w:b/>
                  </w:rPr>
                  <w:t>Разработано экспертным сообщес</w:t>
                </w:r>
                <w:r w:rsidR="00173598" w:rsidRPr="00DA75E0">
                  <w:rPr>
                    <w:b/>
                  </w:rPr>
                  <w:t>твом компетенции «ТУРИЗМ</w:t>
                </w:r>
                <w:r w:rsidRPr="00DA75E0">
                  <w:rPr>
                    <w:b/>
                  </w:rP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4BA76E4D" w:rsidR="00B610A2" w:rsidRDefault="00B610A2" w:rsidP="00B610A2">
                <w:pPr>
                  <w:spacing w:line="360" w:lineRule="auto"/>
                </w:pPr>
                <w:r>
                  <w:t>20___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00E21B63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____________ ФИО</w:t>
                </w:r>
              </w:p>
              <w:p w14:paraId="4D757F60" w14:textId="1A515375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20___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2FC020D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  <w:r w:rsidR="00241520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 ИТОГИ ГОДА) </w:t>
          </w:r>
        </w:p>
        <w:p w14:paraId="0CE9BA28" w14:textId="35FEF56A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73598">
            <w:rPr>
              <w:rFonts w:ascii="Times New Roman" w:eastAsia="Arial Unicode MS" w:hAnsi="Times New Roman" w:cs="Times New Roman"/>
              <w:sz w:val="56"/>
              <w:szCs w:val="56"/>
            </w:rPr>
            <w:t>Туризм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  <w:r w:rsidR="00241520">
            <w:rPr>
              <w:rFonts w:ascii="Times New Roman" w:eastAsia="Arial Unicode MS" w:hAnsi="Times New Roman" w:cs="Times New Roman"/>
              <w:sz w:val="56"/>
              <w:szCs w:val="56"/>
            </w:rPr>
            <w:t>( СПО</w:t>
          </w:r>
          <w:r w:rsidR="00173598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24152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CD1A4C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20___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99B9088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DA75E0">
          <w:rPr>
            <w:rStyle w:val="ae"/>
            <w:noProof/>
          </w:rPr>
          <w:t>АЛИСТА ПО КОМПЕТЕНЦИИ «Туризм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2415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24152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51E6E" w14:textId="549290F2" w:rsidR="00FB3492" w:rsidRPr="00786827" w:rsidRDefault="00FB3492" w:rsidP="00AC6AB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BBA403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73598">
        <w:rPr>
          <w:rFonts w:ascii="Times New Roman" w:hAnsi="Times New Roman" w:cs="Times New Roman"/>
          <w:sz w:val="28"/>
          <w:szCs w:val="28"/>
        </w:rPr>
        <w:t>ования компетенции (ТК) «Туризм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7974F0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8825F8" w:rsidRPr="00A204BB">
        <w:rPr>
          <w:rFonts w:ascii="Times New Roman" w:hAnsi="Times New Roman" w:cs="Times New Roman"/>
          <w:sz w:val="28"/>
          <w:szCs w:val="28"/>
        </w:rPr>
        <w:t>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1B3F7A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73598">
        <w:rPr>
          <w:rFonts w:ascii="Times New Roman" w:hAnsi="Times New Roman"/>
          <w:color w:val="000000"/>
          <w:sz w:val="24"/>
          <w:lang w:val="ru-RU"/>
        </w:rPr>
        <w:t>АЛИСТА ПО КОМПЕТЕНЦИИ «ТУРИЗМ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71F998B6" w:rsidR="003242E1" w:rsidRDefault="008825F8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477B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477B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6747B" w:rsidRPr="001477B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2C474BAB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7E4CD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B814488" w:rsidR="00D6747B" w:rsidRPr="001477B0" w:rsidRDefault="00807969" w:rsidP="004B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7691E31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5E86E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9768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знать и понимать:</w:t>
            </w:r>
          </w:p>
          <w:p w14:paraId="137F5D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27DAD4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техники публичных выступлений, рассказа, ответов на вопросы;</w:t>
            </w:r>
          </w:p>
          <w:p w14:paraId="11201C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взаимодействия в команде, обеспечения ее сплоченности; </w:t>
            </w:r>
          </w:p>
          <w:p w14:paraId="17F4D29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эффективного общения с коллегами;</w:t>
            </w:r>
          </w:p>
          <w:p w14:paraId="263F1A7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нормы ведения деловой переписки; </w:t>
            </w:r>
          </w:p>
          <w:p w14:paraId="1885566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4E501B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самопрезентации; </w:t>
            </w:r>
          </w:p>
          <w:p w14:paraId="5ABF8C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клиенто-ориентированного взаимодействия; </w:t>
            </w:r>
          </w:p>
          <w:p w14:paraId="0189139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4BCF0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485810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44CBD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AC0DD2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3EEC3C45" w14:textId="1B0CFC7B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  <w:p w14:paraId="12671D48" w14:textId="51E25DC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B00D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09CCE80E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36B88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F448252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125B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2922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913DF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законы эмпатии; </w:t>
            </w:r>
          </w:p>
          <w:p w14:paraId="774F835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эмоциональный интеллект; </w:t>
            </w:r>
          </w:p>
          <w:p w14:paraId="406ED8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019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68C3F9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75243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8E81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совместные идеи в процессе разработки турпродукта;</w:t>
            </w:r>
          </w:p>
          <w:p w14:paraId="799D967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62C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431708E5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7434B0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14CE5F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6747B" w:rsidRPr="001477B0" w14:paraId="56041C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011C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BB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B1D3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67433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5BCA9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8B983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655AD1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84C4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5513C28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4945E03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2832FD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2CBBE2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C269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70C0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порядок оформления туристской документации </w:t>
            </w:r>
          </w:p>
          <w:p w14:paraId="303F633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C403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4728F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E07EE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25A7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работать с прикладными офисными программами </w:t>
            </w:r>
          </w:p>
          <w:p w14:paraId="36BDC9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сайтах-агрегаторах туристских продуктов и услуг;</w:t>
            </w:r>
          </w:p>
          <w:p w14:paraId="7B41507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D51F9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4131297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DE9EE8" w14:textId="54368054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EDF8F" w14:textId="0C34AC6E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02A1CD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687425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458A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F77F2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57A25C0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0AB0615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2B930B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325EB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20CA8B3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туристских продуктов и услуг для отдельных категорий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825F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34A4774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869CF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088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7A3414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3AF29DB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0899C2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DC407D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346CB6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499B0F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5CB4456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AD80C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1D59548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</w:p>
          <w:p w14:paraId="36E399F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</w:p>
          <w:p w14:paraId="5495B2E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0DFD278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и обеспечить соответствие ГОСТов при формировании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5882F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BCA7872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E2C9F8" w14:textId="33742438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E18B" w14:textId="5215457D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D6747B" w:rsidRPr="001477B0" w14:paraId="46877D2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31E5A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95D3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55EBD9E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6FAC81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медиапланирования;</w:t>
            </w:r>
          </w:p>
          <w:p w14:paraId="13EC525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</w:p>
          <w:p w14:paraId="6C1F4B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362DC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746CDA5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79BE3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0CFA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план продвижения с учетом поставленных целей и задач</w:t>
            </w:r>
          </w:p>
          <w:p w14:paraId="0732ED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-определять и варьировать способы и каналы продвижения турпродукта</w:t>
            </w:r>
          </w:p>
          <w:p w14:paraId="138B204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50E429B5" w14:textId="06B92B1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0E1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E9962AB" w:rsidR="00E579D6" w:rsidRPr="00E579D6" w:rsidRDefault="00807969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lastRenderedPageBreak/>
        <w:t xml:space="preserve"> </w:t>
      </w:r>
    </w:p>
    <w:p w14:paraId="292260F9" w14:textId="51BB5FB2" w:rsidR="00A204BB" w:rsidRDefault="00A204BB" w:rsidP="00147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099751E8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C1068C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D2C95CE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5CDE749D" w:rsidR="00C56A9B" w:rsidRPr="00786827" w:rsidRDefault="00640E46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4045D12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67375E6" w14:textId="60141257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D107502" w14:textId="5DB5D1CF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33EE5BE" w14:textId="207814FC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C9BC4C" w14:textId="722878FB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15B638C3" w14:textId="5763A82B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5377076" w14:textId="5BD3BA81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64A6CF16" w14:textId="4B528615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591"/>
        <w:gridCol w:w="955"/>
        <w:gridCol w:w="1252"/>
        <w:gridCol w:w="1252"/>
        <w:gridCol w:w="1075"/>
        <w:gridCol w:w="1132"/>
        <w:gridCol w:w="859"/>
        <w:gridCol w:w="1125"/>
      </w:tblGrid>
      <w:tr w:rsidR="00A653AF" w:rsidRPr="00613219" w14:paraId="5B059EAB" w14:textId="77777777" w:rsidTr="00A653AF">
        <w:trPr>
          <w:trHeight w:val="1538"/>
          <w:jc w:val="center"/>
        </w:trPr>
        <w:tc>
          <w:tcPr>
            <w:tcW w:w="4416" w:type="pct"/>
            <w:gridSpan w:val="8"/>
            <w:shd w:val="clear" w:color="auto" w:fill="92D050"/>
            <w:vAlign w:val="center"/>
          </w:tcPr>
          <w:p w14:paraId="35D23FE0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84" w:type="pct"/>
            <w:shd w:val="clear" w:color="auto" w:fill="92D050"/>
            <w:vAlign w:val="center"/>
          </w:tcPr>
          <w:p w14:paraId="5DE95242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653AF" w:rsidRPr="00613219" w14:paraId="3C637D0A" w14:textId="77777777" w:rsidTr="00A653AF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01A4E728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7" w:type="pct"/>
            <w:shd w:val="clear" w:color="auto" w:fill="92D050"/>
            <w:vAlign w:val="center"/>
          </w:tcPr>
          <w:p w14:paraId="2E44A5A0" w14:textId="77777777" w:rsidR="00A653AF" w:rsidRPr="00613219" w:rsidRDefault="00A653AF" w:rsidP="00A653A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00B050"/>
            <w:vAlign w:val="center"/>
          </w:tcPr>
          <w:p w14:paraId="1A92B888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09BDEA6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55D5201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6C3D88F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0FBCED3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6" w:type="pct"/>
            <w:shd w:val="clear" w:color="auto" w:fill="00B050"/>
            <w:vAlign w:val="center"/>
          </w:tcPr>
          <w:p w14:paraId="5DE40268" w14:textId="4A9B8162" w:rsidR="00A653AF" w:rsidRPr="00A653AF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84" w:type="pct"/>
            <w:shd w:val="clear" w:color="auto" w:fill="00B050"/>
            <w:vAlign w:val="center"/>
          </w:tcPr>
          <w:p w14:paraId="0F3D43EC" w14:textId="77777777" w:rsidR="00A653AF" w:rsidRPr="00613219" w:rsidRDefault="00A653AF" w:rsidP="00A653A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53AF" w:rsidRPr="00613219" w14:paraId="0C7342E7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FC0CD5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2923AE1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96" w:type="pct"/>
            <w:vAlign w:val="center"/>
          </w:tcPr>
          <w:p w14:paraId="2EE98D06" w14:textId="50DA51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6,10</w:t>
            </w:r>
          </w:p>
        </w:tc>
        <w:tc>
          <w:tcPr>
            <w:tcW w:w="650" w:type="pct"/>
            <w:vAlign w:val="center"/>
          </w:tcPr>
          <w:p w14:paraId="50D3FD5D" w14:textId="6262E90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2,90</w:t>
            </w:r>
          </w:p>
        </w:tc>
        <w:tc>
          <w:tcPr>
            <w:tcW w:w="650" w:type="pct"/>
            <w:vAlign w:val="center"/>
          </w:tcPr>
          <w:p w14:paraId="6FABBEFC" w14:textId="0793BFC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vAlign w:val="center"/>
          </w:tcPr>
          <w:p w14:paraId="2ACAC076" w14:textId="36D6A392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588" w:type="pct"/>
            <w:vAlign w:val="center"/>
          </w:tcPr>
          <w:p w14:paraId="3F462C89" w14:textId="5E793CC1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6" w:type="pct"/>
            <w:vAlign w:val="center"/>
          </w:tcPr>
          <w:p w14:paraId="02274A0E" w14:textId="79AE071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850BD19" w14:textId="7B75C83B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</w:t>
            </w:r>
            <w:r w:rsidR="00A653AF"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6C7AC075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DA41B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C18640C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96" w:type="pct"/>
            <w:vAlign w:val="center"/>
          </w:tcPr>
          <w:p w14:paraId="6EC2F447" w14:textId="2453427E" w:rsidR="00A653AF" w:rsidRPr="00613219" w:rsidRDefault="00A653AF" w:rsidP="00A653AF">
            <w:pPr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4822326A" w14:textId="292AB1B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2,50</w:t>
            </w:r>
          </w:p>
        </w:tc>
        <w:tc>
          <w:tcPr>
            <w:tcW w:w="650" w:type="pct"/>
            <w:vAlign w:val="center"/>
          </w:tcPr>
          <w:p w14:paraId="62F4F8A1" w14:textId="65F0A06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5,80</w:t>
            </w:r>
          </w:p>
        </w:tc>
        <w:tc>
          <w:tcPr>
            <w:tcW w:w="558" w:type="pct"/>
            <w:vAlign w:val="center"/>
          </w:tcPr>
          <w:p w14:paraId="6AF31672" w14:textId="5DB76AAF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  <w:vAlign w:val="center"/>
          </w:tcPr>
          <w:p w14:paraId="0AB10B14" w14:textId="0176A417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6" w:type="pct"/>
            <w:vAlign w:val="center"/>
          </w:tcPr>
          <w:p w14:paraId="4502B4E3" w14:textId="4CB8FFA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1,70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3E25244" w14:textId="04328627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A653AF" w:rsidRPr="004B0BC1"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1AD7C10B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364CD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0A2E327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96" w:type="pct"/>
            <w:vAlign w:val="center"/>
          </w:tcPr>
          <w:p w14:paraId="2952C3B7" w14:textId="7035CC3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0,10</w:t>
            </w:r>
          </w:p>
        </w:tc>
        <w:tc>
          <w:tcPr>
            <w:tcW w:w="650" w:type="pct"/>
            <w:vAlign w:val="center"/>
          </w:tcPr>
          <w:p w14:paraId="672B1E11" w14:textId="5AE84C8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0,60</w:t>
            </w:r>
          </w:p>
        </w:tc>
        <w:tc>
          <w:tcPr>
            <w:tcW w:w="650" w:type="pct"/>
            <w:vAlign w:val="center"/>
          </w:tcPr>
          <w:p w14:paraId="7C2D632A" w14:textId="1CCD665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1,30</w:t>
            </w:r>
          </w:p>
        </w:tc>
        <w:tc>
          <w:tcPr>
            <w:tcW w:w="558" w:type="pct"/>
            <w:vAlign w:val="center"/>
          </w:tcPr>
          <w:p w14:paraId="74423F29" w14:textId="12040678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  <w:vAlign w:val="center"/>
          </w:tcPr>
          <w:p w14:paraId="2C7E004E" w14:textId="552A3495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6" w:type="pct"/>
            <w:vAlign w:val="center"/>
          </w:tcPr>
          <w:p w14:paraId="78DE8647" w14:textId="66A20B1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2,30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BD238BF" w14:textId="7CC6ED29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4,3</w:t>
            </w:r>
            <w:r w:rsidR="00A653AF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A653AF" w:rsidRPr="00613219" w14:paraId="6520BF0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62158BAD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6F9C4D0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96" w:type="pct"/>
            <w:vAlign w:val="center"/>
          </w:tcPr>
          <w:p w14:paraId="5A43F5EF" w14:textId="71913CE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9,20</w:t>
            </w:r>
          </w:p>
        </w:tc>
        <w:tc>
          <w:tcPr>
            <w:tcW w:w="650" w:type="pct"/>
          </w:tcPr>
          <w:p w14:paraId="7C3EBD58" w14:textId="6BDAADA1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DF2CBEA" w14:textId="3F43E46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7,10</w:t>
            </w:r>
          </w:p>
        </w:tc>
        <w:tc>
          <w:tcPr>
            <w:tcW w:w="558" w:type="pct"/>
            <w:vAlign w:val="center"/>
          </w:tcPr>
          <w:p w14:paraId="368575B3" w14:textId="330E1609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  <w:vAlign w:val="center"/>
          </w:tcPr>
          <w:p w14:paraId="39011584" w14:textId="7831919A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6" w:type="pct"/>
            <w:vAlign w:val="center"/>
          </w:tcPr>
          <w:p w14:paraId="79A33959" w14:textId="0C13D45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5DC07B8" w14:textId="18D8D609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16,3</w:t>
            </w:r>
            <w:r w:rsidR="00A653AF" w:rsidRPr="004B0BC1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A653AF" w:rsidRPr="00613219" w14:paraId="078925F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44DA80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223382F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96" w:type="pct"/>
            <w:vAlign w:val="center"/>
          </w:tcPr>
          <w:p w14:paraId="2D32F0BA" w14:textId="6FC6C29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</w:tcPr>
          <w:p w14:paraId="1649EA9C" w14:textId="3724B7C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2CBA30C0" w14:textId="16AC51A6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7,40</w:t>
            </w:r>
          </w:p>
        </w:tc>
        <w:tc>
          <w:tcPr>
            <w:tcW w:w="558" w:type="pct"/>
            <w:vAlign w:val="center"/>
          </w:tcPr>
          <w:p w14:paraId="7DECF390" w14:textId="5602ACA7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  <w:vAlign w:val="center"/>
          </w:tcPr>
          <w:p w14:paraId="0648D5E6" w14:textId="6FE3D33D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6" w:type="pct"/>
            <w:vAlign w:val="center"/>
          </w:tcPr>
          <w:p w14:paraId="33429253" w14:textId="2ABDB72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BF455B8" w14:textId="54BFFD82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7,4</w:t>
            </w:r>
            <w:r w:rsidR="00A653AF" w:rsidRPr="004B0BC1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A653AF" w:rsidRPr="00613219" w14:paraId="35D7D324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8288C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1C6843A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96" w:type="pct"/>
            <w:vAlign w:val="center"/>
          </w:tcPr>
          <w:p w14:paraId="27CB6C8E" w14:textId="4B287D6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4,60</w:t>
            </w:r>
          </w:p>
        </w:tc>
        <w:tc>
          <w:tcPr>
            <w:tcW w:w="650" w:type="pct"/>
            <w:vAlign w:val="center"/>
          </w:tcPr>
          <w:p w14:paraId="42104200" w14:textId="6B5FE3A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4C0DF9B" w14:textId="58ACAA6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0,40</w:t>
            </w:r>
          </w:p>
        </w:tc>
        <w:tc>
          <w:tcPr>
            <w:tcW w:w="558" w:type="pct"/>
            <w:vAlign w:val="center"/>
          </w:tcPr>
          <w:p w14:paraId="764EFC78" w14:textId="5C662735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  <w:vAlign w:val="center"/>
          </w:tcPr>
          <w:p w14:paraId="4F388C84" w14:textId="342A9C6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446" w:type="pct"/>
            <w:vAlign w:val="center"/>
          </w:tcPr>
          <w:p w14:paraId="477386C9" w14:textId="61BE36A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60696E6" w14:textId="6A564CBB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A653AF" w:rsidRPr="004B0BC1"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4E4FECD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CBE0E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9" w:type="pct"/>
            <w:gridSpan w:val="8"/>
            <w:shd w:val="clear" w:color="auto" w:fill="00B050"/>
            <w:vAlign w:val="center"/>
          </w:tcPr>
          <w:p w14:paraId="7CEDEAA6" w14:textId="64F21208" w:rsidR="00A653AF" w:rsidRPr="00613219" w:rsidRDefault="00A653AF" w:rsidP="00A653AF">
            <w:pPr>
              <w:rPr>
                <w:sz w:val="22"/>
                <w:szCs w:val="22"/>
              </w:rPr>
            </w:pPr>
          </w:p>
        </w:tc>
      </w:tr>
      <w:tr w:rsidR="00A653AF" w:rsidRPr="00613219" w14:paraId="558C3DB5" w14:textId="77777777" w:rsidTr="00A653AF">
        <w:trPr>
          <w:trHeight w:val="50"/>
          <w:jc w:val="center"/>
        </w:trPr>
        <w:tc>
          <w:tcPr>
            <w:tcW w:w="1028" w:type="pct"/>
            <w:gridSpan w:val="2"/>
            <w:shd w:val="clear" w:color="auto" w:fill="00B050"/>
            <w:vAlign w:val="center"/>
          </w:tcPr>
          <w:p w14:paraId="6B3E1520" w14:textId="7777777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96" w:type="pct"/>
            <w:shd w:val="clear" w:color="auto" w:fill="EEECE1"/>
            <w:vAlign w:val="center"/>
          </w:tcPr>
          <w:p w14:paraId="47BD53BA" w14:textId="31C11B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4541DE03" w14:textId="5836488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0AEEF1F5" w14:textId="6125F36D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653AF" w:rsidRPr="004B0BC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58" w:type="pct"/>
            <w:shd w:val="clear" w:color="auto" w:fill="EEECE1"/>
            <w:vAlign w:val="center"/>
          </w:tcPr>
          <w:p w14:paraId="0BC507D1" w14:textId="68D5D099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A653AF" w:rsidRPr="004B0BC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88" w:type="pct"/>
            <w:shd w:val="clear" w:color="auto" w:fill="EEECE1"/>
            <w:vAlign w:val="center"/>
          </w:tcPr>
          <w:p w14:paraId="20C99F2A" w14:textId="2237DE6F" w:rsidR="00A653AF" w:rsidRPr="00613219" w:rsidRDefault="00223299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A653AF" w:rsidRPr="004B0BC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6" w:type="pct"/>
            <w:shd w:val="clear" w:color="auto" w:fill="EEECE1"/>
            <w:vAlign w:val="center"/>
          </w:tcPr>
          <w:p w14:paraId="71EBD79C" w14:textId="1AE6CB03" w:rsidR="00A653AF" w:rsidRPr="00613219" w:rsidRDefault="00EE0EE0" w:rsidP="00A653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FBB7534" w14:textId="746E9C6A" w:rsidR="00A653AF" w:rsidRPr="00613219" w:rsidRDefault="00EE0EE0" w:rsidP="00A65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59,00</w:t>
            </w:r>
          </w:p>
        </w:tc>
      </w:tr>
    </w:tbl>
    <w:p w14:paraId="37EEA680" w14:textId="77777777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4213CA5" w14:textId="7AD0F4D6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143F07AE" w:rsidR="00613219" w:rsidRDefault="00613219" w:rsidP="00D56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5EF813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155FD4B6" w14:textId="3FC5ACFD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653AF" w:rsidRPr="009D04EE" w14:paraId="5589819F" w14:textId="77777777" w:rsidTr="00A653AF">
        <w:tc>
          <w:tcPr>
            <w:tcW w:w="1851" w:type="pct"/>
            <w:gridSpan w:val="2"/>
            <w:shd w:val="clear" w:color="auto" w:fill="92D050"/>
          </w:tcPr>
          <w:p w14:paraId="40C62C2D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D9984D4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81355" w:rsidRPr="009D04EE" w14:paraId="2C19D1A0" w14:textId="77777777" w:rsidTr="00241520">
        <w:tc>
          <w:tcPr>
            <w:tcW w:w="282" w:type="pct"/>
            <w:shd w:val="clear" w:color="auto" w:fill="00B050"/>
          </w:tcPr>
          <w:p w14:paraId="173E8AFA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56666F8" w14:textId="5B71C389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149" w:type="pct"/>
            <w:shd w:val="clear" w:color="auto" w:fill="auto"/>
          </w:tcPr>
          <w:p w14:paraId="65A394A7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F8ABA9C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 ;  </w:t>
            </w:r>
          </w:p>
          <w:p w14:paraId="1825DAC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</w:t>
            </w:r>
            <w:r w:rsidRPr="00DF78E0">
              <w:rPr>
                <w:sz w:val="24"/>
                <w:szCs w:val="24"/>
              </w:rPr>
              <w:lastRenderedPageBreak/>
              <w:t>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F45B6B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489233E" w14:textId="307E6DF5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A81355" w:rsidRPr="009D04EE" w14:paraId="7D285285" w14:textId="77777777" w:rsidTr="00241520">
        <w:tc>
          <w:tcPr>
            <w:tcW w:w="282" w:type="pct"/>
            <w:shd w:val="clear" w:color="auto" w:fill="00B050"/>
          </w:tcPr>
          <w:p w14:paraId="758BA144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8B6AC1C" w14:textId="36675887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Работа с возражениями туриста</w:t>
            </w:r>
          </w:p>
        </w:tc>
        <w:tc>
          <w:tcPr>
            <w:tcW w:w="3149" w:type="pct"/>
            <w:shd w:val="clear" w:color="auto" w:fill="auto"/>
          </w:tcPr>
          <w:p w14:paraId="0184D62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60189D9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 ;  </w:t>
            </w:r>
          </w:p>
          <w:p w14:paraId="2B617FC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566F816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2F57221" w14:textId="0EC54323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A81355" w:rsidRPr="009D04EE" w14:paraId="59392CFE" w14:textId="77777777" w:rsidTr="00241520">
        <w:tc>
          <w:tcPr>
            <w:tcW w:w="282" w:type="pct"/>
            <w:shd w:val="clear" w:color="auto" w:fill="00B050"/>
          </w:tcPr>
          <w:p w14:paraId="0EF2C629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12A8C087" w14:textId="35BC13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149" w:type="pct"/>
            <w:shd w:val="clear" w:color="auto" w:fill="auto"/>
          </w:tcPr>
          <w:p w14:paraId="588C00E2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E0AC38F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 ;  </w:t>
            </w:r>
          </w:p>
          <w:p w14:paraId="4DFCF62D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</w:t>
            </w:r>
            <w:r w:rsidRPr="00DF78E0">
              <w:rPr>
                <w:sz w:val="24"/>
                <w:szCs w:val="24"/>
              </w:rPr>
              <w:lastRenderedPageBreak/>
              <w:t>показателю, чередующего ранжирования, оценка производится с использованием любых критериев;</w:t>
            </w:r>
          </w:p>
          <w:p w14:paraId="7C7D032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EEEC645" w14:textId="62EEAABC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A81355" w:rsidRPr="009D04EE" w14:paraId="414E90DE" w14:textId="77777777" w:rsidTr="00241520">
        <w:tc>
          <w:tcPr>
            <w:tcW w:w="282" w:type="pct"/>
            <w:shd w:val="clear" w:color="auto" w:fill="00B050"/>
          </w:tcPr>
          <w:p w14:paraId="7CCF683A" w14:textId="19720374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3BDE6E1C" w14:textId="1B86AD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386"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149" w:type="pct"/>
            <w:shd w:val="clear" w:color="auto" w:fill="auto"/>
          </w:tcPr>
          <w:p w14:paraId="2320EAC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0DC9EA7" w14:textId="032C1911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</w:t>
            </w:r>
            <w:r>
              <w:rPr>
                <w:sz w:val="24"/>
                <w:szCs w:val="24"/>
              </w:rPr>
              <w:t>,</w:t>
            </w:r>
            <w:r w:rsidRPr="00DF78E0">
              <w:rPr>
                <w:sz w:val="24"/>
                <w:szCs w:val="24"/>
              </w:rPr>
              <w:t xml:space="preserve"> в соответствии с предъявляемыми требованиями ;  </w:t>
            </w:r>
          </w:p>
          <w:p w14:paraId="6ABF40E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629249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F32F785" w14:textId="7A0B48AA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</w:t>
            </w:r>
            <w:r>
              <w:rPr>
                <w:sz w:val="24"/>
                <w:szCs w:val="24"/>
              </w:rPr>
              <w:t>авнения, поведенческих примеров.</w:t>
            </w:r>
          </w:p>
        </w:tc>
      </w:tr>
    </w:tbl>
    <w:p w14:paraId="1D8A4D3D" w14:textId="4ACD4477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8531C" w14:textId="73875260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6CC414A6" w:rsidR="0037535C" w:rsidRPr="00DF78E0" w:rsidRDefault="0037535C" w:rsidP="00DF7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35AE4B9A" w:rsidR="009E52E7" w:rsidRPr="00807969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 w:rsidR="00241520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77501777" w14:textId="1F340C7E" w:rsidR="00691878" w:rsidRPr="00807969" w:rsidRDefault="009E52E7" w:rsidP="005E1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4D99" w:rsidRPr="0024152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17 часов 30 минут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FBA5D7" w14:textId="5D3F1AF1" w:rsidR="009E52E7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15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2EE03DF9" w14:textId="38454AEB" w:rsidR="00D3619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7E20D" w14:textId="77777777" w:rsidR="00D36199" w:rsidRPr="0080796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5EBCB" w14:textId="2D85417B" w:rsidR="009E52E7" w:rsidRPr="00807969" w:rsidRDefault="009E52E7" w:rsidP="0080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807969" w:rsidRDefault="009E52E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807969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D7D20C1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часть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DA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BBB62B" w:rsidR="008C41F7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6C35095" w14:textId="2FBF770D" w:rsidR="00807969" w:rsidRPr="00A50D6F" w:rsidRDefault="00807969" w:rsidP="00DA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единый для всех участников кейс(задание)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4DF7453C" w14:textId="77777777" w:rsidR="00807969" w:rsidRPr="003732A7" w:rsidRDefault="0080796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>Не 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видоизменение </w:t>
      </w:r>
      <w:r w:rsidRPr="00A50D6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его выполнения.</w:t>
      </w:r>
    </w:p>
    <w:p w14:paraId="1E487E71" w14:textId="77777777" w:rsidR="00807969" w:rsidRPr="00807969" w:rsidRDefault="00807969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07969" w:rsidRDefault="00640E46" w:rsidP="0080796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807969" w:rsidRDefault="00640E46" w:rsidP="0080796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024F7D" w:rsidRPr="00807969" w14:paraId="2F96C2A6" w14:textId="77777777" w:rsidTr="00814FA1">
        <w:trPr>
          <w:trHeight w:val="1125"/>
        </w:trPr>
        <w:tc>
          <w:tcPr>
            <w:tcW w:w="1665" w:type="dxa"/>
            <w:vAlign w:val="center"/>
          </w:tcPr>
          <w:p w14:paraId="28FFC2E7" w14:textId="09B97F48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284" w:type="dxa"/>
            <w:vAlign w:val="center"/>
          </w:tcPr>
          <w:p w14:paraId="76E4F101" w14:textId="2C54AE0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87" w:type="dxa"/>
            <w:vAlign w:val="center"/>
          </w:tcPr>
          <w:p w14:paraId="47FEB271" w14:textId="47A5C16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 xml:space="preserve">Нормативный </w:t>
            </w:r>
            <w:r w:rsidRPr="00807969">
              <w:rPr>
                <w:sz w:val="28"/>
                <w:szCs w:val="28"/>
              </w:rPr>
              <w:lastRenderedPageBreak/>
              <w:t>документ/ЗУН</w:t>
            </w:r>
          </w:p>
        </w:tc>
        <w:tc>
          <w:tcPr>
            <w:tcW w:w="971" w:type="dxa"/>
            <w:vAlign w:val="center"/>
          </w:tcPr>
          <w:p w14:paraId="1110754A" w14:textId="3CF850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lastRenderedPageBreak/>
              <w:t>Модуль</w:t>
            </w:r>
          </w:p>
        </w:tc>
        <w:tc>
          <w:tcPr>
            <w:tcW w:w="2644" w:type="dxa"/>
            <w:vAlign w:val="center"/>
          </w:tcPr>
          <w:p w14:paraId="3F70625D" w14:textId="1D35031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Константа/вариатив</w:t>
            </w:r>
          </w:p>
        </w:tc>
        <w:tc>
          <w:tcPr>
            <w:tcW w:w="591" w:type="dxa"/>
            <w:vAlign w:val="center"/>
          </w:tcPr>
          <w:p w14:paraId="557A5264" w14:textId="15C3380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ИЛ</w:t>
            </w:r>
          </w:p>
        </w:tc>
        <w:tc>
          <w:tcPr>
            <w:tcW w:w="587" w:type="dxa"/>
            <w:vAlign w:val="center"/>
          </w:tcPr>
          <w:p w14:paraId="50B7A08B" w14:textId="52A1CC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</w:t>
            </w:r>
          </w:p>
        </w:tc>
      </w:tr>
      <w:tr w:rsidR="00024F7D" w:rsidRPr="00807969" w14:paraId="010B14B4" w14:textId="77777777" w:rsidTr="00814FA1">
        <w:trPr>
          <w:trHeight w:val="1125"/>
        </w:trPr>
        <w:tc>
          <w:tcPr>
            <w:tcW w:w="1665" w:type="dxa"/>
            <w:vAlign w:val="center"/>
          </w:tcPr>
          <w:p w14:paraId="57C69272" w14:textId="301F1B2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84" w:type="dxa"/>
            <w:vAlign w:val="center"/>
          </w:tcPr>
          <w:p w14:paraId="77ED13A0" w14:textId="7D92D57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87" w:type="dxa"/>
            <w:vAlign w:val="center"/>
          </w:tcPr>
          <w:p w14:paraId="5D16D6C3" w14:textId="05146E0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dxa"/>
            <w:vAlign w:val="center"/>
          </w:tcPr>
          <w:p w14:paraId="5039D792" w14:textId="490CE41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4" w:type="dxa"/>
            <w:vAlign w:val="center"/>
          </w:tcPr>
          <w:p w14:paraId="560FE8FC" w14:textId="0E97F45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1" w:type="dxa"/>
            <w:vAlign w:val="center"/>
          </w:tcPr>
          <w:p w14:paraId="3B69E96F" w14:textId="7684A1B6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  <w:vAlign w:val="center"/>
          </w:tcPr>
          <w:p w14:paraId="692D11A7" w14:textId="593CBE9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7</w:t>
            </w:r>
          </w:p>
        </w:tc>
      </w:tr>
    </w:tbl>
    <w:p w14:paraId="06333872" w14:textId="53A65CED" w:rsidR="00024F7D" w:rsidRPr="00807969" w:rsidRDefault="00024F7D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807969" w:rsidRDefault="00640E46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07969" w:rsidRDefault="00945E13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807969" w:rsidRDefault="00730AE0" w:rsidP="0080796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  <w:bookmarkStart w:id="9" w:name="_Toc124422970"/>
      <w:r w:rsidRPr="00807969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807969">
        <w:rPr>
          <w:rFonts w:ascii="Times New Roman" w:hAnsi="Times New Roman"/>
          <w:szCs w:val="28"/>
        </w:rPr>
        <w:t xml:space="preserve"> </w:t>
      </w:r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Pr="00807969" w:rsidRDefault="000B55A2" w:rsidP="0080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8EF11" w14:textId="77777777" w:rsidR="00241520" w:rsidRPr="00807969" w:rsidRDefault="00241520" w:rsidP="002415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Формирование и обоснование нового туристского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8B82502" w14:textId="78ACC9D4" w:rsidR="00241520" w:rsidRPr="00807969" w:rsidRDefault="00E87D45" w:rsidP="002415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модуля: 2 часа 45 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  <w:r w:rsidR="008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+ 5 минут на презентацию </w:t>
      </w:r>
    </w:p>
    <w:p w14:paraId="0B70A2A9" w14:textId="6B7B8AF6" w:rsidR="00241520" w:rsidRPr="00807969" w:rsidRDefault="00D259E8" w:rsidP="002415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заданной темой участники разрабатывают программу нового уникального туристского продукта.</w:t>
      </w:r>
    </w:p>
    <w:p w14:paraId="6CE6F706" w14:textId="010B5076" w:rsidR="00386C1C" w:rsidRDefault="00241520" w:rsidP="00386C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Конкурсанты:  в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ыделяют ключевые детали запроса;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определяют и дают характеристику территории, по которой пройдёт маршрут, указывают 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(клиентскую) аудитор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ию нового маршрута;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определяют и обосновывают концепцию и уникальнос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нового туристского продукта;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обосновывают сроки и количество заездов, продолжительность и сезонность при организации путешествия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определяют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внепрограммных мероприятий по программе тура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; дополнительных услуг, предложенных по маршруту путешествия; указывают на услуги по страхованию туристов, а также обосновывают требования безопасности на маршруте.</w:t>
      </w:r>
    </w:p>
    <w:p w14:paraId="485D48B1" w14:textId="77CAEB1A" w:rsidR="00386C1C" w:rsidRDefault="00241520" w:rsidP="00386C1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C1C"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процессе разработки программы нового уникального </w:t>
      </w:r>
      <w:r w:rsidR="00386C1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туристского </w:t>
      </w:r>
      <w:r w:rsidR="00386C1C"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продукта конкурсанты представляют общую карту-схему маршрута и карты-схемы ежедневных перемещений по маршруту, с указанием основных локаций,</w:t>
      </w:r>
      <w:r w:rsidR="00386C1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86C1C"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протяженности( в км) и</w:t>
      </w:r>
      <w:r w:rsidR="00386C1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86C1C"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продолжительности путешествия</w:t>
      </w:r>
      <w:r w:rsidR="00386C1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3EAA3C8E" w14:textId="7B45817C" w:rsidR="00386C1C" w:rsidRDefault="00386C1C" w:rsidP="00386C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Участники предоставляют информацию по программе тура с использованием открытых актуальных источников (не менее 4-х)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464415" w14:textId="29CB668E" w:rsidR="00386C1C" w:rsidRPr="00386C1C" w:rsidRDefault="00386C1C" w:rsidP="00386C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разрабатывают и сдают экспертам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электронной форме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программу тура с указанием затрат времени, обосновывают соответствие программы нового туристского продукта заказу клиента с учетом всех имеющихся особенностей запроса заказчика.</w:t>
      </w:r>
    </w:p>
    <w:p w14:paraId="34856C1B" w14:textId="0DAFCD38" w:rsidR="00386C1C" w:rsidRDefault="00386C1C" w:rsidP="00386C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в ходе презентации программы нового туристского продукта представляют и сдают экспертам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</w:t>
      </w:r>
      <w:r w:rsidRPr="00386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6C1C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расчеты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себестоимости сформированного турпродукта и расчеты стоимости турпродукта на рынке.</w:t>
      </w:r>
    </w:p>
    <w:p w14:paraId="56AF6738" w14:textId="51E6E3B2" w:rsidR="00386C1C" w:rsidRDefault="00386C1C" w:rsidP="00386C1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оформляют и сдают экспертам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электронной форме </w:t>
      </w:r>
      <w:r w:rsidRPr="00386C1C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технологическую карту маршрута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(технологическая карта туристского путешествия) в соответствии с ГОСТ Р 50681-2010 «Туристские услуги»</w:t>
      </w:r>
      <w:r w:rsidR="00E87D4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3 разделе технологической карты конкурсанты предоставляют краткую информацию в аннотированной форме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 каждому дню поездки и всем специфическим характеристикам маршрута объемом до 1 страницы А4, 12 шрифтом TimesNewRoman, интервал полуторный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499D6340" w14:textId="2F216F3C" w:rsidR="00D259E8" w:rsidRDefault="00D259E8" w:rsidP="00D259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</w:t>
      </w:r>
      <w:r w:rsidRPr="00E87D45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аннотацию тура</w:t>
      </w: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на русском и иностранном языке (оба варианта аннотации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электронном виде </w:t>
      </w:r>
      <w:r w:rsidRP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сдаются экспертам), демонстрируя умения устно излагать информацию о туре на иностранном языке в ходе презентации туристского продукта.</w:t>
      </w:r>
    </w:p>
    <w:p w14:paraId="5569DCEB" w14:textId="4C19AC19" w:rsidR="00386C1C" w:rsidRPr="005B301D" w:rsidRDefault="00E87D45" w:rsidP="00E87D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E87D4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разрабатывают и сдают экспертам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электронной форме</w:t>
      </w:r>
      <w:r w:rsidRPr="00E87D4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E87D45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рекламный буклет  тура</w:t>
      </w:r>
      <w:r w:rsidRPr="00E87D4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, который должна включать необходимую, полную и достоверную информацию о туристском продукте. Буклет представляется экспертам в формате  Лифлет ЕВРО в 2 сложения, (в развороте А4) двухсторонний.</w:t>
      </w:r>
    </w:p>
    <w:p w14:paraId="594CFAD0" w14:textId="77777777" w:rsidR="00386C1C" w:rsidRPr="005B301D" w:rsidRDefault="00386C1C" w:rsidP="00386C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</w:t>
      </w:r>
    </w:p>
    <w:p w14:paraId="793ED66D" w14:textId="1E6429FE" w:rsidR="00386C1C" w:rsidRPr="005B301D" w:rsidRDefault="00386C1C" w:rsidP="00386C1C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готовят электронн</w:t>
      </w:r>
      <w:r w:rsidR="00D259E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ую презентацию своего продукта.</w:t>
      </w:r>
    </w:p>
    <w:p w14:paraId="66F540CB" w14:textId="32DAF03A" w:rsidR="00386C1C" w:rsidRDefault="00386C1C" w:rsidP="002A40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Презентация работы над модулем считается завершенной только в том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случае, если участники команды обозначили окончание выступления.</w:t>
      </w:r>
    </w:p>
    <w:p w14:paraId="143EBCA3" w14:textId="77777777" w:rsidR="002A408A" w:rsidRPr="002A408A" w:rsidRDefault="002A408A" w:rsidP="002A40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bookmarkStart w:id="10" w:name="_GoBack"/>
      <w:bookmarkEnd w:id="10"/>
    </w:p>
    <w:p w14:paraId="3BA6C20F" w14:textId="77777777" w:rsidR="00241520" w:rsidRPr="00807969" w:rsidRDefault="00241520" w:rsidP="002415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 </w:t>
      </w:r>
    </w:p>
    <w:p w14:paraId="076F85E1" w14:textId="4CB5E148" w:rsidR="00241520" w:rsidRPr="00E87D45" w:rsidRDefault="00E87D45" w:rsidP="002415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D4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 1 час. Время на презентацию: 5 минут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команду</w:t>
      </w:r>
      <w:r w:rsidRPr="00E87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6DE645A7" w14:textId="16565053" w:rsidR="00E87D45" w:rsidRPr="00E932F3" w:rsidRDefault="00241520" w:rsidP="00E87D45">
      <w:pPr>
        <w:pStyle w:val="41"/>
        <w:spacing w:before="0" w:after="0" w:line="360" w:lineRule="auto"/>
        <w:ind w:firstLine="709"/>
        <w:rPr>
          <w:rStyle w:val="16"/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E87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E87D45" w:rsidRPr="00E932F3">
        <w:rPr>
          <w:rStyle w:val="16"/>
          <w:rFonts w:ascii="Times New Roman" w:hAnsi="Times New Roman" w:cs="Times New Roman"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</w:t>
      </w:r>
      <w:r w:rsidR="00E87D45"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 w:rsidR="00E87D45" w:rsidRPr="00626373">
        <w:rPr>
          <w:rStyle w:val="16"/>
          <w:rFonts w:ascii="Times New Roman" w:hAnsi="Times New Roman" w:cs="Times New Roman"/>
          <w:sz w:val="28"/>
          <w:szCs w:val="28"/>
        </w:rPr>
        <w:t xml:space="preserve">соблюдение делового стиля в одежде, навыки </w:t>
      </w:r>
      <w:r w:rsidR="00E87D45" w:rsidRPr="00E932F3">
        <w:rPr>
          <w:rStyle w:val="16"/>
          <w:rFonts w:ascii="Times New Roman" w:hAnsi="Times New Roman" w:cs="Times New Roman"/>
          <w:sz w:val="28"/>
          <w:szCs w:val="28"/>
        </w:rPr>
        <w:t>успешной коммуникации и публичной презентации, а также умения работать в команде и стрессоустойчивость.</w:t>
      </w:r>
    </w:p>
    <w:p w14:paraId="1C54D383" w14:textId="02670400" w:rsidR="00241520" w:rsidRDefault="00E87D45" w:rsidP="00E87D45">
      <w:pPr>
        <w:pStyle w:val="41"/>
        <w:spacing w:before="0" w:after="0" w:line="360" w:lineRule="auto"/>
        <w:ind w:firstLine="709"/>
        <w:rPr>
          <w:rStyle w:val="16"/>
          <w:rFonts w:ascii="Times New Roman" w:hAnsi="Times New Roman" w:cs="Times New Roman"/>
          <w:sz w:val="28"/>
          <w:szCs w:val="28"/>
        </w:rPr>
      </w:pPr>
      <w:r w:rsidRPr="00AD5978">
        <w:rPr>
          <w:rStyle w:val="16"/>
          <w:rFonts w:ascii="Times New Roman" w:hAnsi="Times New Roman" w:cs="Times New Roman"/>
          <w:sz w:val="28"/>
          <w:szCs w:val="28"/>
        </w:rPr>
        <w:t>В ходе выполнения специального задания участникам в первые пять минут после начала работы над Модулем предлагается задать не менее двух уточняющих вопросов по заданию в письменной форме, используя для этого выражение: «Правильно ли мы вас поняли».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Главный эксперт в режиме нон-стоп отвечает на представленные вопросы команд-участников.  </w:t>
      </w:r>
      <w:r w:rsidRPr="00AD5978">
        <w:rPr>
          <w:rStyle w:val="16"/>
          <w:rFonts w:ascii="Times New Roman" w:hAnsi="Times New Roman" w:cs="Times New Roman"/>
          <w:sz w:val="28"/>
          <w:szCs w:val="28"/>
        </w:rPr>
        <w:t xml:space="preserve"> По окончании публичной презентации оценивающие эксперты имеют право задать не менее 3-х вопросов конкурсантам. Если время ответов на вопросы завершилось, а вопрос был задан экспертом, то участник имеет право ответа на этот вопрос. Время для презентации команды составляет 3 минуты.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 w:rsidRPr="00AD5978">
        <w:rPr>
          <w:rStyle w:val="16"/>
          <w:rFonts w:ascii="Times New Roman" w:hAnsi="Times New Roman" w:cs="Times New Roman"/>
          <w:sz w:val="28"/>
          <w:szCs w:val="28"/>
        </w:rPr>
        <w:t>Время, отведенное на вопросы от экспертов - 2 минуты (вопросы могут задавать эксперты, к</w:t>
      </w:r>
      <w:r>
        <w:rPr>
          <w:rStyle w:val="16"/>
          <w:rFonts w:ascii="Times New Roman" w:hAnsi="Times New Roman" w:cs="Times New Roman"/>
          <w:sz w:val="28"/>
          <w:szCs w:val="28"/>
        </w:rPr>
        <w:t>оторые оценивают данный модуль</w:t>
      </w:r>
      <w:r w:rsidRPr="00AD5978"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>и главный эксперт)</w:t>
      </w:r>
      <w:r w:rsidRPr="00AD5978">
        <w:rPr>
          <w:rStyle w:val="16"/>
          <w:rFonts w:ascii="Times New Roman" w:hAnsi="Times New Roman" w:cs="Times New Roman"/>
          <w:sz w:val="28"/>
          <w:szCs w:val="28"/>
        </w:rPr>
        <w:t>.</w:t>
      </w:r>
    </w:p>
    <w:p w14:paraId="45111964" w14:textId="77777777" w:rsidR="00E87D45" w:rsidRPr="00E87D45" w:rsidRDefault="00E87D45" w:rsidP="00E87D45">
      <w:pPr>
        <w:pStyle w:val="41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B79F6C" w14:textId="6AA02268" w:rsidR="00730AE0" w:rsidRPr="00807969" w:rsidRDefault="00730AE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55A2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оформление заказа клиента по подбору пакетного тура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3E65A26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CF648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F6488" w:rsidRPr="00CF648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D20FC" w:rsidRPr="00CF6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 30 минут</w:t>
      </w:r>
      <w:r w:rsidR="00814F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</w:t>
      </w:r>
      <w:r w:rsidR="00814FA1" w:rsidRPr="00814FA1">
        <w:t xml:space="preserve"> </w:t>
      </w:r>
      <w:r w:rsidR="00814FA1" w:rsidRPr="00814FA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презентацию: 5 минут</w:t>
      </w:r>
    </w:p>
    <w:p w14:paraId="715A5BA2" w14:textId="47019EA4" w:rsidR="0054421C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0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Участникам озвучивается для анализа на рабочих местах специально подготовленная ситуация, в которой представлен запрос клиента на пакетный</w:t>
      </w:r>
      <w:r w:rsidR="00CF6488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тур по определённым критериям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В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соответствии с заказом клиента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участники осуществляют подбор пакетного тура и оформляют программу обслуживания пакетного тура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327A3D41" w14:textId="77777777" w:rsidR="0054421C" w:rsidRPr="008C368F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442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Участники представляют экспертам памятку туристу о поездке в соответствии с заданием.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Информация в программе обслуживания по пакетному туру, должна сопровождаться ссылками на открытые актуальные источники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(не менее 4-х)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2ED18A0F" w14:textId="0FEB724C" w:rsidR="0054421C" w:rsidRPr="00AD5978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1E12CF">
        <w:rPr>
          <w:rFonts w:ascii="Times New Roman" w:eastAsia="Calibri" w:hAnsi="Times New Roman"/>
          <w:b/>
          <w:color w:val="000000"/>
          <w:spacing w:val="2"/>
          <w:sz w:val="28"/>
          <w:szCs w:val="28"/>
          <w:shd w:val="clear" w:color="auto" w:fill="FFFFFF"/>
        </w:rPr>
        <w:t>Участники оформляют и сдают экспертам коммерческое предложение на поездку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. В коммерческом предложении излагается суть оферты менеджера турагентства по запросу клиента.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 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Письмо (коммерческое предложение) составляется в соответствии со стандартами деловой переписки и предоставляется в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электронном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виде. Объем коммерческого предложения не должен превышать двух страниц А4, шрифт 12</w:t>
      </w:r>
      <w:r w:rsidRPr="00AD5978">
        <w:t xml:space="preserve">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Times New Roman, интервал одинарный.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37AA26C2" w14:textId="1071418C" w:rsidR="0054421C" w:rsidRPr="00AD5978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47EF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Конкурсанты оформляют и сдают</w:t>
      </w:r>
      <w:r w:rsidR="00CF6488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в электронном </w:t>
      </w:r>
      <w:r w:rsidR="00D259E8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виде </w:t>
      </w:r>
      <w:r w:rsidR="00D259E8" w:rsidRPr="00547EF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экспертам</w:t>
      </w:r>
      <w:r w:rsidRPr="00547EF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заполненный договор</w:t>
      </w:r>
      <w:r w:rsidRPr="00547E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о реализации турпродукта между турагентом и клиентом (Приказ Минэкономразвития России от 19.03.2019 года №135)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Договор должен быть заполнен в соответствии с представленным на презентации турпродуктом и представленными заказчиком данными туристов.</w:t>
      </w:r>
    </w:p>
    <w:p w14:paraId="159DBAFE" w14:textId="3284100D" w:rsidR="0054421C" w:rsidRPr="00626373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составляют и сдают экспертам</w:t>
      </w:r>
      <w:r w:rsidR="00CF648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электронном виде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калькуляцию стоимости </w:t>
      </w:r>
      <w:r w:rsidR="00CF648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пакетного тура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5F1B65EF" w14:textId="77777777" w:rsidR="0054421C" w:rsidRPr="00626373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 </w:t>
      </w:r>
    </w:p>
    <w:p w14:paraId="39225C7D" w14:textId="3E26719F" w:rsidR="0054421C" w:rsidRPr="00626373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Конкурсантам в ходе работы над запросом клиента предоставляется возможность в течение ограниченного времени обратиться к клиенту и задать уточняющие вопросы в ходе организации переговоров с заказчиком в режиме реального времени. Перед началом работы над модулем проводится жеребьевка  порядка выхода команд на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переговоры.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Переговоры с Заказчиком начинаются по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истечении 10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 после начала выполнения Модуля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 заканчиваются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за 10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 </w:t>
      </w:r>
      <w:r w:rsidR="00CF648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 окончания выполнения Модуля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 Время, отвед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енное на переговоры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составляет 4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ы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 каждой команды, переговоры проводятся однократно.   </w:t>
      </w:r>
    </w:p>
    <w:p w14:paraId="7642F901" w14:textId="38D7A899" w:rsidR="0054421C" w:rsidRPr="00AD5978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готовят электронную презентацию подобранного в соответствии с заказом пакетного тура</w:t>
      </w:r>
      <w:r w:rsidRPr="00CF6AA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  <w:r w:rsidR="00CF648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F6488" w:rsidRPr="00CF6488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Время на презентацию: 5 минут.</w:t>
      </w:r>
      <w:r w:rsidR="00CF648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02579427" w14:textId="77777777" w:rsidR="0054421C" w:rsidRPr="00AD5978" w:rsidRDefault="0054421C" w:rsidP="0054421C">
      <w:pPr>
        <w:widowControl w:val="0"/>
        <w:shd w:val="clear" w:color="auto" w:fill="FFFFFF"/>
        <w:spacing w:after="0" w:line="360" w:lineRule="auto"/>
        <w:ind w:firstLine="709"/>
        <w:jc w:val="both"/>
        <w:rPr>
          <w:rStyle w:val="16"/>
          <w:rFonts w:ascii="Times New Roman" w:eastAsiaTheme="minorHAnsi" w:hAnsi="Times New Roman"/>
          <w:sz w:val="28"/>
          <w:szCs w:val="28"/>
        </w:rPr>
      </w:pPr>
      <w:r w:rsidRPr="00AD5978">
        <w:rPr>
          <w:rStyle w:val="16"/>
          <w:rFonts w:ascii="Times New Roman" w:eastAsiaTheme="minorHAnsi" w:hAnsi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14:paraId="0DA50DB1" w14:textId="23157485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0AFE18" w14:textId="5E85CF6C" w:rsidR="00730AE0" w:rsidRPr="00807969" w:rsidRDefault="00ED20FC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30AE0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возражениями туриста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660457B0" w:rsidR="00730AE0" w:rsidRDefault="00730AE0" w:rsidP="00E87D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CF648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6488">
        <w:rPr>
          <w:rFonts w:ascii="Times New Roman" w:eastAsia="Times New Roman" w:hAnsi="Times New Roman" w:cs="Times New Roman"/>
          <w:bCs/>
          <w:sz w:val="28"/>
          <w:szCs w:val="28"/>
        </w:rPr>
        <w:t xml:space="preserve"> (30 минут на подготовку к переговорам с Заказчиком</w:t>
      </w:r>
      <w:r w:rsidR="00814FA1">
        <w:rPr>
          <w:rFonts w:ascii="Times New Roman" w:eastAsia="Times New Roman" w:hAnsi="Times New Roman" w:cs="Times New Roman"/>
          <w:bCs/>
          <w:sz w:val="28"/>
          <w:szCs w:val="28"/>
        </w:rPr>
        <w:t>+10 минут на собеседование( переговоры) с клиентом</w:t>
      </w:r>
      <w:r w:rsidR="00CF648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909844" w14:textId="5D804453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имитируется обработка возражений клиента на предложенный вариант пакетного тура (Модуль  Обработка и оформление заказа клиента по подбору пакетного тура). Роль «клиента-туриста» играет группа оценивающих экспертов, роль «менеджеров турагентства» – конкретная команда участников соревнований.</w:t>
      </w:r>
    </w:p>
    <w:p w14:paraId="742E1D9A" w14:textId="182A11D0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текстовом виде каждая команда получает индивидуальные возражения от заказчика по условиям предлагаемого пакетного тура (Модуль А. Обработка и оформление заказа клиента по подбору пакетного тура). Количество возражений должно 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 одинаково для всех команд – 2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(два). </w:t>
      </w:r>
    </w:p>
    <w:p w14:paraId="28327FED" w14:textId="77777777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Формулировка и суть возражения, определение его истинных и ложных причин, а также возможные сценарии (схемы) его преодоления, обсуждаются и принимаются группой оценивающих экспертов с участием главного эксперта до начала работы над Модулем, на основе представленных командой коммерческого предложения и(или) электронной презентации по Модулю А (Обработка и оформление заказа клиента по подбору пакетного тура). Текст возражения формулируется от первого лица – потенциального «туриста» того «турагентства», куда обращается «клиент». </w:t>
      </w:r>
    </w:p>
    <w:p w14:paraId="34627EFD" w14:textId="4457C829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и оценка команды по преодолению возражений проходит в интерактивной форме – форме диалога (переговоров, общения, собеседования) «менеджеров турагентства» (команды участников) с «туристом» (экспертом, -ами оценки) в зоне экспертов (комнате для переговоров), оборудованной 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необходимым оборудованием и выходом в Интернет</w:t>
      </w:r>
      <w:r w:rsidR="008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локальной папке команды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>. Порядок выхода участников команд на собеседование (переговоры) определяется жеребьевкой перед началом работы над Модулем.</w:t>
      </w:r>
    </w:p>
    <w:p w14:paraId="41AE8C39" w14:textId="77777777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началом работы над модулем команды участников одновременно получают «свои» возражения. Участникам дается возможность в течении 30 (тридцати) минут подготовиться к встрече с «туристом», в роли которого выступает оценивающие эксперты. После окончания «подготовительного этапа» работы с возражениями «туриста» участники покидают рабочие места и переходят в брифинг-зону. В соответствии с жеребьёвкой команды приглашаются на собеседования с «туристом». Время выступления с мини-презентацией (общения с экспертами) – не более 10 минут на команду. Переговоры проводятся однократно. При этом таймер доступен для просмотра как для экспертов оценки, так и для участников соревнований. Во время общения «турист»-«менеджер турагенства» экспертами оценки могут быть сделаны уточнения по выдвинутым 2(двум) возражениям, но не могут быть выдвинуты новые возражения. Данное общение предполагает формат работы «онлайн», все аспекты обсуждаемых возражений и ответы на них (решения) не предполагают продления выделенного времени или перенос сроков общения. </w:t>
      </w:r>
    </w:p>
    <w:p w14:paraId="60463827" w14:textId="56E8A16C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Мини-презентация по работе над возражением может проходить как в устной форме с использованием ПК для поиска и демонстрации необходимой информации (альтернативных предложений в ответ на возражение - форма онлайн), так и с привлечением электронной версии мини-презентации. </w:t>
      </w:r>
    </w:p>
    <w:p w14:paraId="00E51B05" w14:textId="2C9AAF2F" w:rsidR="00EE0EE0" w:rsidRPr="00EE0EE0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>Причины, вызвавшие возражения, уточняются оценивающими экспертами применительно к каждому коммерческому предложению и электронной презентации, предста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вленными участниками по Модулю 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(Обработка и оформление заказа клиента по подбору пакетного тура).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F26582" w14:textId="5D71FC57" w:rsidR="00E14D99" w:rsidRPr="00807969" w:rsidRDefault="00EE0EE0" w:rsidP="00EE0E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Конечным результатом проведения мини-презентации ответов на высказанные возражения должна стать готовность «туриста» (оценивающих экспертов) к «покупке тура» и «заключению договора о реализации </w:t>
      </w:r>
      <w:r w:rsidRPr="00EE0E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турпродукта». После окончания собеседования (переговоров) команда завершает работу над модулем, сдает рабочее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и покидает зону соревнований.</w:t>
      </w:r>
    </w:p>
    <w:p w14:paraId="3427CC14" w14:textId="77777777" w:rsidR="00730AE0" w:rsidRPr="00807969" w:rsidRDefault="00730AE0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807969" w:rsidRDefault="0060658F" w:rsidP="0080796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80796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80796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807969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5C677442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Тип соревнования: командный</w:t>
      </w:r>
    </w:p>
    <w:p w14:paraId="07E3E784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Количество конкурсантов в команде: 2 чел.</w:t>
      </w:r>
    </w:p>
    <w:p w14:paraId="4D3556C5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Выбор командной формы проведения чемпионатов по компетенции Туризм обусловлен спецификой и практикой осуществления туристской деятельности.</w:t>
      </w:r>
    </w:p>
    <w:p w14:paraId="124E96AA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команде, где присутствуют специалисты с разными полномочиями и профилями, можно выйти на нестандартную идею, которая способна родиться только на стыке компетенций. Причем, команда способна не только найти идею, но и реализовать ее. На первый план, в командной форме работы при этом выходят навыки, способствующие эффективному выполнению задач. Среди которых, навыки делегирования и распределения функций, межличностной коммуникации и сотрудничества, совместного оперативного планирования и снижение рисков принятия ошибочного или случайного решения - являются приоритетами в организации профессиональной деятельности специалиста по туризму. </w:t>
      </w:r>
    </w:p>
    <w:p w14:paraId="6BF6BC17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Каждый член команды при взаимодействии с другими ее членами выполняет роли двух типов. Первая — это профессиональная роль, базирующаяся на профессиональных навыках и практическом опыте, которые вносятся конкурсантом в реализацию проекта или решение проблемы. Вторая роль, является командной ролью, в основе которой лежат личностные данные человека, его ценности и менталитет.</w:t>
      </w:r>
    </w:p>
    <w:p w14:paraId="739AB15E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Любая команда имеет больше шансов быть эффективной, если она сбалансирована в отношении всего набора командных ролей и, если в ней обеспечивается и поощряется выполнение всех командных ролей, наиболее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актуальных для решения конкретных задач команды в конкретный момент времени.</w:t>
      </w:r>
    </w:p>
    <w:p w14:paraId="338B9A73" w14:textId="6FEE3D92" w:rsidR="00D17132" w:rsidRPr="00807969" w:rsidRDefault="00ED20FC" w:rsidP="00691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Данные роли можно отнести к базовым навыкам специалиста по туризму как разработчика туристских маршрутов, формирующего туристский продукт(ы) для их продвижения и реализации.</w:t>
      </w:r>
    </w:p>
    <w:p w14:paraId="277E3541" w14:textId="221D7EBC" w:rsidR="005E5731" w:rsidRDefault="00ED20FC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</w:t>
      </w:r>
      <w:r w:rsidR="00E87D45" w:rsidRPr="00807969">
        <w:rPr>
          <w:rFonts w:ascii="Times New Roman" w:eastAsia="Times New Roman" w:hAnsi="Times New Roman" w:cs="Times New Roman"/>
          <w:sz w:val="28"/>
          <w:szCs w:val="28"/>
        </w:rPr>
        <w:t>«Туризм» — это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командные соревнования в области туристской деятельности с двумя участниками. В группах участники работают над реализацией запросов туристов, каждый день решая различные конкурсные задачи. Конкурсанты работают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14683B31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Кейсы(задания) для работы на площадке для конкурсантов являю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тся секретным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собой единый для всех участников кейс(задание) в форме запроса клиента (клиентов). </w:t>
      </w:r>
    </w:p>
    <w:p w14:paraId="32FFD4A0" w14:textId="5AED6E02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модулей А, В, Г, Д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разрабатываются не менее трех вариантов </w:t>
      </w:r>
      <w:r>
        <w:rPr>
          <w:rFonts w:ascii="Times New Roman" w:eastAsia="Times New Roman" w:hAnsi="Times New Roman" w:cs="Times New Roman"/>
          <w:sz w:val="28"/>
          <w:szCs w:val="28"/>
        </w:rPr>
        <w:t>кейсов (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Один из конвертов с подготовленными заданиями выбирается методом случайной выборки перед началом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над модулем. Для модуля Б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уникальные для разных команд участников задания. Кейсы (задания) выдаются участникам и экспертам перед началом выполнения модуля. </w:t>
      </w:r>
    </w:p>
    <w:p w14:paraId="1B8CBBDE" w14:textId="1C4B4686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При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ении кейса (задания) по модулю Е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участники задают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6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отвечают на вопросы экспертов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отведённое для этого время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По другим модулям вопросы перед началом выполнения не предусмотрены. </w:t>
      </w:r>
    </w:p>
    <w:p w14:paraId="06F8F3BD" w14:textId="011000E7" w:rsidR="00ED20FC" w:rsidRPr="00807969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17AB57DA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(кейсов), при необходимости, согласуются с менеджером компетенции. Окончательный выбор ситуаций (кейсов) для конкурсантов остается за главным экспертом. </w:t>
      </w:r>
    </w:p>
    <w:p w14:paraId="235616E5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Для соблюдения «эффекта неожиданности» рекомендуется по каждому модулю предлагать участникам соревнований не менее трех вариантов заданий.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чемпионата.</w:t>
      </w:r>
    </w:p>
    <w:p w14:paraId="0E9FF35B" w14:textId="5B00D89F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4A832E98" w14:textId="73F809A2" w:rsidR="00ED20FC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посторонней или некорректной символикой или надписями нежелательно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Default="00691878" w:rsidP="00691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Calibri"/>
          <w:color w:val="000000"/>
          <w:sz w:val="28"/>
          <w:szCs w:val="28"/>
        </w:rPr>
      </w:pPr>
      <w:r>
        <w:rPr>
          <w:rFonts w:ascii="TimesNewRomanPSMT" w:hAnsi="TimesNewRomanPSMT" w:cs="Calibri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3C858A40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7C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7AF6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sz w:val="28"/>
          <w:szCs w:val="28"/>
        </w:rPr>
        <w:lastRenderedPageBreak/>
        <w:t>Если становится очевидно, что действия участника соревнований, приведшие к нарушению Регламента</w:t>
      </w:r>
      <w:r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7C7F6E">
        <w:rPr>
          <w:rFonts w:ascii="Times New Roman" w:hAnsi="Times New Roman" w:cs="Times New Roman"/>
          <w:sz w:val="28"/>
          <w:szCs w:val="28"/>
        </w:rPr>
        <w:t xml:space="preserve"> и Кодекса этики, были совершены осознанно и преднамеренно, к нему применяются следующие санкции:</w:t>
      </w:r>
    </w:p>
    <w:p w14:paraId="551B14AB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запрещенных средств связи приводит к отстранению от соревнований. </w:t>
      </w:r>
    </w:p>
    <w:p w14:paraId="0AF4D424" w14:textId="77777777" w:rsidR="005E5731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участника от соревнований. </w:t>
      </w:r>
    </w:p>
    <w:p w14:paraId="6D7B31C2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Запрещается пользоваться почтовыми серверами (за исключением тех вариантов, когда это указано в задании к модулю).</w:t>
      </w:r>
    </w:p>
    <w:p w14:paraId="2A30C0A9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Участник, нарушивший правила поведения/правила ОТ и ТБ на чемпионате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 </w:t>
      </w:r>
    </w:p>
    <w:p w14:paraId="6AD0F918" w14:textId="4E35AA66" w:rsidR="00EA30C6" w:rsidRPr="00415046" w:rsidRDefault="005E5731" w:rsidP="00807969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>В случае некорректного или грубого поведения компатриота, его попыток вмешиваться в работу оценивающей группы и других нарушениях этики, такие нарушение фиксируется и составляется протокол с решением об удалении данного эксперта или компатриота с площадки вплоть до конца проведения соревнований</w:t>
      </w:r>
    </w:p>
    <w:p w14:paraId="245CDCAC" w14:textId="3300886E" w:rsidR="00E15F2A" w:rsidRPr="00807969" w:rsidRDefault="00A11569" w:rsidP="00807969">
      <w:pPr>
        <w:pStyle w:val="-2"/>
        <w:spacing w:before="0" w:after="0"/>
        <w:jc w:val="both"/>
        <w:outlineLvl w:val="9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807969">
        <w:rPr>
          <w:rFonts w:ascii="Times New Roman" w:hAnsi="Times New Roman"/>
          <w:color w:val="000000"/>
          <w:szCs w:val="28"/>
        </w:rPr>
        <w:t>2</w:t>
      </w:r>
      <w:r w:rsidR="00FB022D" w:rsidRPr="00807969">
        <w:rPr>
          <w:rFonts w:ascii="Times New Roman" w:hAnsi="Times New Roman"/>
          <w:color w:val="000000"/>
          <w:szCs w:val="28"/>
        </w:rPr>
        <w:t>.</w:t>
      </w:r>
      <w:r w:rsidRPr="00807969">
        <w:rPr>
          <w:rFonts w:ascii="Times New Roman" w:hAnsi="Times New Roman"/>
          <w:color w:val="000000"/>
          <w:szCs w:val="28"/>
        </w:rPr>
        <w:t>1</w:t>
      </w:r>
      <w:r w:rsidR="00FB022D" w:rsidRPr="00807969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8079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1CB61AAF" w14:textId="2F83E5FA" w:rsidR="00E15F2A" w:rsidRPr="00807969" w:rsidRDefault="00E0762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Тулбокс конкурсанта: нулевой</w:t>
      </w:r>
    </w:p>
    <w:p w14:paraId="112A6605" w14:textId="73692741" w:rsidR="00E15F2A" w:rsidRPr="00807969" w:rsidRDefault="00A11569" w:rsidP="00807969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8079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8079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443FAED9" w14:textId="77777777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компетенции «Туризм», или же могущими дать участникам несправедливое преимущество. </w:t>
      </w:r>
    </w:p>
    <w:p w14:paraId="5A238B14" w14:textId="77777777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участнику несправедливое преимущество. Использование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данных предметов во время соревнований приводит к штрафным санкциям, вплоть до дисквалификации команды(участников). </w:t>
      </w:r>
    </w:p>
    <w:p w14:paraId="209B6CB6" w14:textId="77777777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 частности, запрещено использование мобильных телефонов, и любых гаджетов, имеющих память или usb-порт. Использование участником на площадке мобильного телефона приводит к наказанию 5 баллов или дисквалификации команды.</w:t>
      </w:r>
    </w:p>
    <w:p w14:paraId="05A651EB" w14:textId="14160671" w:rsidR="00E07620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Обнаружение у участника на площадке любых видов памяти (накопителей), в том числе и любых устройств с USB-разъемом, приводит к отстранению команды от соревнований</w:t>
      </w:r>
    </w:p>
    <w:p w14:paraId="2C01D7B9" w14:textId="571750DD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62067" w14:textId="39102EE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35CEF" w14:textId="7875860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2E918" w14:textId="580A3104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7508E" w14:textId="1F8684D0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1DBE2" w14:textId="008F1403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FFC55" w14:textId="6E290B74" w:rsidR="008825F8" w:rsidRPr="00807969" w:rsidRDefault="008825F8" w:rsidP="005E1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D3EE9" w14:textId="04853F90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3F9C44DB" w14:textId="3AF924F4" w:rsidR="00807969" w:rsidRDefault="00807969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ABD73" w14:textId="4D3D892E" w:rsidR="00807969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8700C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https://disk.yandex.ru/i/XRIqgIWEBUW9gQ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193E3CE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https://disk.yandex.ru/i/Hwo_Xvc87H6nng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9FE29" w14:textId="6514E0A2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E3135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https://disk.yandex.ru/i/UxyY_73O3IHFPw</w:t>
        </w:r>
      </w:hyperlink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09425" w14:textId="0F90CB9E" w:rsidR="00A67AA0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https://disk.yandex.ru/i/ai9v6gpRFczUFg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036CD" w14:textId="67957CF3" w:rsidR="008700CE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8700CE">
        <w:rPr>
          <w:rFonts w:ascii="Times New Roman" w:hAnsi="Times New Roman" w:cs="Times New Roman"/>
          <w:sz w:val="28"/>
          <w:szCs w:val="28"/>
        </w:rPr>
        <w:t>План застройки</w:t>
      </w:r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6250E8">
        <w:t xml:space="preserve"> </w:t>
      </w:r>
    </w:p>
    <w:p w14:paraId="6F51FAE1" w14:textId="7349CBA7" w:rsidR="005E5731" w:rsidRDefault="00021FEA" w:rsidP="00021F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021FE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по компетенции «Туризм» </w:t>
      </w:r>
      <w:hyperlink r:id="rId12" w:history="1"/>
      <w:r w:rsidR="006250E8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10FA8" w14:textId="141DEDA9" w:rsidR="005E5731" w:rsidRDefault="005E573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1FDE" w14:textId="5B1891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EA496" w14:textId="332FAB12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292CD" w14:textId="65FC111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9982C" w14:textId="12A66C9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15313" w14:textId="58F44A2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2FB6" w14:textId="305E717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2BE10" w14:textId="68FDBD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CB11" w14:textId="6267218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F930" w14:textId="720CF2A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57E4D" w14:textId="5104121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66701" w14:textId="7D0F163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53BFD" w14:textId="170DE55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CFB2" w14:textId="27681E6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20138" w14:textId="0D72CA1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F891C" w14:textId="4E6E348F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2976" w14:textId="03B8075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F51DA" w14:textId="4A34BD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F7D47" w14:textId="364B47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B8BCD" w14:textId="3738DE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C15E8" w14:textId="22B936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BDF27" w14:textId="08E8147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57D35" w14:textId="6C1AF8E6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B705C" w14:textId="7197EDC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AA9BC" w14:textId="3C265423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6A15A" w14:textId="4565285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F01D" w14:textId="2F7DD9C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91EEF" w14:textId="7777777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25720" w14:textId="7777777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61CF5" w14:textId="4B60EEE1" w:rsidR="00DA75E0" w:rsidRDefault="009E313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7F38" w14:textId="77777777" w:rsidR="00DA75E0" w:rsidRDefault="00DA75E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D24A3" w14:textId="551DE8B6" w:rsidR="00B37579" w:rsidRDefault="00021FEA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5796" w14:textId="77777777" w:rsidR="00515FD8" w:rsidRDefault="00515FD8" w:rsidP="00970F49">
      <w:pPr>
        <w:spacing w:after="0" w:line="240" w:lineRule="auto"/>
      </w:pPr>
      <w:r>
        <w:separator/>
      </w:r>
    </w:p>
  </w:endnote>
  <w:endnote w:type="continuationSeparator" w:id="0">
    <w:p w14:paraId="14875947" w14:textId="77777777" w:rsidR="00515FD8" w:rsidRDefault="00515F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24152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241520" w:rsidRPr="00A204BB" w:rsidRDefault="0024152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EBEA89" w:rsidR="00241520" w:rsidRPr="00A204BB" w:rsidRDefault="0024152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A408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41520" w:rsidRDefault="002415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A370" w14:textId="77777777" w:rsidR="00515FD8" w:rsidRDefault="00515FD8" w:rsidP="00970F49">
      <w:pPr>
        <w:spacing w:after="0" w:line="240" w:lineRule="auto"/>
      </w:pPr>
      <w:r>
        <w:separator/>
      </w:r>
    </w:p>
  </w:footnote>
  <w:footnote w:type="continuationSeparator" w:id="0">
    <w:p w14:paraId="14D19C2C" w14:textId="77777777" w:rsidR="00515FD8" w:rsidRDefault="00515FD8" w:rsidP="00970F49">
      <w:pPr>
        <w:spacing w:after="0" w:line="240" w:lineRule="auto"/>
      </w:pPr>
      <w:r>
        <w:continuationSeparator/>
      </w:r>
    </w:p>
  </w:footnote>
  <w:footnote w:id="1">
    <w:p w14:paraId="2C418BAC" w14:textId="4511AC94" w:rsidR="00241520" w:rsidRDefault="0024152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одной командой.</w:t>
      </w:r>
    </w:p>
  </w:footnote>
  <w:footnote w:id="2">
    <w:p w14:paraId="310C4F32" w14:textId="77777777" w:rsidR="00241520" w:rsidRDefault="0024152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241520" w:rsidRPr="00B45AA4" w:rsidRDefault="0024152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0B50"/>
    <w:rsid w:val="00021CCE"/>
    <w:rsid w:val="00021FEA"/>
    <w:rsid w:val="000244DA"/>
    <w:rsid w:val="00024F7D"/>
    <w:rsid w:val="00025085"/>
    <w:rsid w:val="00041A78"/>
    <w:rsid w:val="00056CDE"/>
    <w:rsid w:val="00067386"/>
    <w:rsid w:val="00081D65"/>
    <w:rsid w:val="000A050D"/>
    <w:rsid w:val="000A1F96"/>
    <w:rsid w:val="000B3397"/>
    <w:rsid w:val="000B4111"/>
    <w:rsid w:val="000B55A2"/>
    <w:rsid w:val="000D258B"/>
    <w:rsid w:val="000D43CC"/>
    <w:rsid w:val="000D4C46"/>
    <w:rsid w:val="000D74AA"/>
    <w:rsid w:val="000F0FC3"/>
    <w:rsid w:val="001024BE"/>
    <w:rsid w:val="001127B7"/>
    <w:rsid w:val="00114D79"/>
    <w:rsid w:val="00127743"/>
    <w:rsid w:val="001477B0"/>
    <w:rsid w:val="0015561E"/>
    <w:rsid w:val="001627D5"/>
    <w:rsid w:val="00173598"/>
    <w:rsid w:val="00175B38"/>
    <w:rsid w:val="0017612A"/>
    <w:rsid w:val="001C63E7"/>
    <w:rsid w:val="001E1DF9"/>
    <w:rsid w:val="00220E70"/>
    <w:rsid w:val="00223299"/>
    <w:rsid w:val="00237603"/>
    <w:rsid w:val="00241520"/>
    <w:rsid w:val="00270E01"/>
    <w:rsid w:val="002776A1"/>
    <w:rsid w:val="0029547E"/>
    <w:rsid w:val="002A408A"/>
    <w:rsid w:val="002A4943"/>
    <w:rsid w:val="002B1426"/>
    <w:rsid w:val="002C7C3C"/>
    <w:rsid w:val="002F2906"/>
    <w:rsid w:val="003242E1"/>
    <w:rsid w:val="00333911"/>
    <w:rsid w:val="00334165"/>
    <w:rsid w:val="003531E7"/>
    <w:rsid w:val="003601A4"/>
    <w:rsid w:val="0037535C"/>
    <w:rsid w:val="0038388F"/>
    <w:rsid w:val="00386C1C"/>
    <w:rsid w:val="0039109A"/>
    <w:rsid w:val="003934F8"/>
    <w:rsid w:val="00397A1B"/>
    <w:rsid w:val="003A21C8"/>
    <w:rsid w:val="003C1D7A"/>
    <w:rsid w:val="003C57C7"/>
    <w:rsid w:val="003C5F97"/>
    <w:rsid w:val="003D1E51"/>
    <w:rsid w:val="00405E31"/>
    <w:rsid w:val="00415046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3726"/>
    <w:rsid w:val="004A07A5"/>
    <w:rsid w:val="004B0BC1"/>
    <w:rsid w:val="004B692B"/>
    <w:rsid w:val="004C3CAF"/>
    <w:rsid w:val="004C703E"/>
    <w:rsid w:val="004D096E"/>
    <w:rsid w:val="004E785E"/>
    <w:rsid w:val="004E7905"/>
    <w:rsid w:val="005055FF"/>
    <w:rsid w:val="00510059"/>
    <w:rsid w:val="00515FD8"/>
    <w:rsid w:val="0054421C"/>
    <w:rsid w:val="00554CBB"/>
    <w:rsid w:val="005560AC"/>
    <w:rsid w:val="0056194A"/>
    <w:rsid w:val="00565B7C"/>
    <w:rsid w:val="00573BF9"/>
    <w:rsid w:val="005A1625"/>
    <w:rsid w:val="005B05D5"/>
    <w:rsid w:val="005B0DEC"/>
    <w:rsid w:val="005B1C40"/>
    <w:rsid w:val="005B66FC"/>
    <w:rsid w:val="005C6A23"/>
    <w:rsid w:val="005E192E"/>
    <w:rsid w:val="005E30DC"/>
    <w:rsid w:val="005E5731"/>
    <w:rsid w:val="00605DD7"/>
    <w:rsid w:val="0060658F"/>
    <w:rsid w:val="00613219"/>
    <w:rsid w:val="006250E8"/>
    <w:rsid w:val="0062789A"/>
    <w:rsid w:val="0063396F"/>
    <w:rsid w:val="00640E46"/>
    <w:rsid w:val="0064179C"/>
    <w:rsid w:val="00643A8A"/>
    <w:rsid w:val="0064491A"/>
    <w:rsid w:val="0064767D"/>
    <w:rsid w:val="00653B50"/>
    <w:rsid w:val="006776B4"/>
    <w:rsid w:val="006873B8"/>
    <w:rsid w:val="0069187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04B8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969"/>
    <w:rsid w:val="00812516"/>
    <w:rsid w:val="00814D30"/>
    <w:rsid w:val="00814FA1"/>
    <w:rsid w:val="00832EBB"/>
    <w:rsid w:val="00834734"/>
    <w:rsid w:val="00835BF6"/>
    <w:rsid w:val="008700CE"/>
    <w:rsid w:val="008761F3"/>
    <w:rsid w:val="00881DD2"/>
    <w:rsid w:val="008825F8"/>
    <w:rsid w:val="00882B54"/>
    <w:rsid w:val="008912AE"/>
    <w:rsid w:val="008B0F23"/>
    <w:rsid w:val="008B560B"/>
    <w:rsid w:val="008C41F7"/>
    <w:rsid w:val="008D6DCF"/>
    <w:rsid w:val="008E372C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4A36"/>
    <w:rsid w:val="009931F0"/>
    <w:rsid w:val="009955F8"/>
    <w:rsid w:val="009A36AD"/>
    <w:rsid w:val="009B18A2"/>
    <w:rsid w:val="009D04EE"/>
    <w:rsid w:val="009E0D11"/>
    <w:rsid w:val="009E3135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90B"/>
    <w:rsid w:val="00AA2B8A"/>
    <w:rsid w:val="00AC6ABB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2C7B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488"/>
    <w:rsid w:val="00D02C00"/>
    <w:rsid w:val="00D12ABD"/>
    <w:rsid w:val="00D16F4B"/>
    <w:rsid w:val="00D17132"/>
    <w:rsid w:val="00D2075B"/>
    <w:rsid w:val="00D229F1"/>
    <w:rsid w:val="00D259E8"/>
    <w:rsid w:val="00D35448"/>
    <w:rsid w:val="00D36199"/>
    <w:rsid w:val="00D37CEC"/>
    <w:rsid w:val="00D37DEA"/>
    <w:rsid w:val="00D405D4"/>
    <w:rsid w:val="00D41269"/>
    <w:rsid w:val="00D45007"/>
    <w:rsid w:val="00D56E27"/>
    <w:rsid w:val="00D617CC"/>
    <w:rsid w:val="00D6747B"/>
    <w:rsid w:val="00D87A1E"/>
    <w:rsid w:val="00DA75E0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279E8"/>
    <w:rsid w:val="00E31B55"/>
    <w:rsid w:val="00E579D6"/>
    <w:rsid w:val="00E75567"/>
    <w:rsid w:val="00E857D6"/>
    <w:rsid w:val="00E87D45"/>
    <w:rsid w:val="00EA0163"/>
    <w:rsid w:val="00EA0C3A"/>
    <w:rsid w:val="00EA30C6"/>
    <w:rsid w:val="00EB2779"/>
    <w:rsid w:val="00ED18F9"/>
    <w:rsid w:val="00ED20FC"/>
    <w:rsid w:val="00ED53C9"/>
    <w:rsid w:val="00EE0EE0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8">
    <w:name w:val="Основной текст_"/>
    <w:basedOn w:val="a2"/>
    <w:link w:val="41"/>
    <w:rsid w:val="0054421C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54421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16">
    <w:name w:val="Основной текст1"/>
    <w:basedOn w:val="aff8"/>
    <w:rsid w:val="0054421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RIqgIWEBUW9g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0RPWcC7r8cf7x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ai9v6gpRFczU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UxyY_73O3IHF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wo_Xvc87H6n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4EED-A84A-4F6B-A84E-B06979E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6088</Words>
  <Characters>34706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2023-06-14T10:49:00Z</dcterms:created>
  <dcterms:modified xsi:type="dcterms:W3CDTF">2023-06-14T10:49:00Z</dcterms:modified>
</cp:coreProperties>
</file>