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1E" w:rsidRDefault="00C705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  <w:r>
        <w:rPr>
          <w:b/>
          <w:noProof/>
        </w:rPr>
        <w:drawing>
          <wp:inline distT="0" distB="0" distL="0" distR="0">
            <wp:extent cx="3305810" cy="12871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810" cy="12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0A30C2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804E1E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 xml:space="preserve">ИНСТРУКЦИЯ ПО ОХРАНЕ ТРУДА </w:t>
      </w:r>
    </w:p>
    <w:p w:rsidR="00804E1E" w:rsidRDefault="000A3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КОМПЕТЕНЦИЯ «ФАРМАЦЕВТИКА»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F5B06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2023 год</w:t>
      </w:r>
    </w:p>
    <w:p w:rsidR="00DF5B06" w:rsidRDefault="00DF5B06">
      <w:pPr>
        <w:rPr>
          <w:color w:val="000000"/>
        </w:rPr>
      </w:pPr>
      <w:r>
        <w:rPr>
          <w:color w:val="000000"/>
        </w:rPr>
        <w:br w:type="page"/>
      </w: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1045112996"/>
        <w:docPartObj>
          <w:docPartGallery w:val="Table of Contents"/>
          <w:docPartUnique/>
        </w:docPartObj>
      </w:sdtPr>
      <w:sdtContent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 w:rsidR="00F831EA">
            <w:instrText xml:space="preserve"> TOC \h \u \z </w:instrText>
          </w:r>
          <w:r>
            <w:fldChar w:fldCharType="separate"/>
          </w:r>
          <w:hyperlink w:anchor="_30j0zll">
            <w:r w:rsidR="00F831EA"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30j0zll">
            <w:r w:rsidR="00F831EA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fob9te">
            <w:r w:rsidR="00F831EA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1fob9te">
            <w:r w:rsidR="00F831EA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tyjcwt">
            <w:r w:rsidR="00F831EA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tyjcwt">
            <w:r w:rsidR="00F831EA"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t3h5sf">
            <w:r w:rsidR="00F831EA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1t3h5sf">
            <w:r w:rsidR="00F831EA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4d34og8">
            <w:r w:rsidR="00F831EA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4d34og8">
            <w:r w:rsidR="00F831EA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lnxbz9">
            <w:r w:rsidR="00F831EA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lnxbz9">
            <w:r w:rsidR="00F831EA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804E1E" w:rsidRDefault="00BB31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26in1rg">
            <w:r w:rsidR="00F831EA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26in1rg">
            <w:r w:rsidR="00F831EA">
              <w:rPr>
                <w:color w:val="000000"/>
                <w:sz w:val="28"/>
                <w:szCs w:val="28"/>
              </w:rPr>
              <w:tab/>
              <w:t>14</w:t>
            </w:r>
          </w:hyperlink>
          <w:r>
            <w:fldChar w:fldCharType="end"/>
          </w:r>
        </w:p>
      </w:sdtContent>
    </w:sdt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</w:t>
      </w:r>
      <w:r w:rsidR="00E21777">
        <w:rPr>
          <w:color w:val="000000"/>
          <w:sz w:val="28"/>
          <w:szCs w:val="28"/>
        </w:rPr>
        <w:t>Отборочных соревнований Чемпионата по профессиональному мастерству компетенции «ФАРМАЦЕВТИКА»</w:t>
      </w:r>
      <w:r>
        <w:rPr>
          <w:color w:val="000000"/>
          <w:sz w:val="28"/>
          <w:szCs w:val="28"/>
        </w:rPr>
        <w:t>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7057C">
        <w:rPr>
          <w:color w:val="000000"/>
          <w:sz w:val="28"/>
          <w:szCs w:val="28"/>
        </w:rPr>
        <w:t xml:space="preserve">Отборочных соревнований </w:t>
      </w:r>
      <w:r>
        <w:rPr>
          <w:color w:val="000000"/>
          <w:sz w:val="28"/>
          <w:szCs w:val="28"/>
        </w:rPr>
        <w:t xml:space="preserve">Чемпионата по профессиональному мастерству компетенции «ФАРМАЦЕВТИКА». 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1fob9te" w:colFirst="0" w:colLast="0"/>
      <w:bookmarkEnd w:id="2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804E1E" w:rsidRDefault="00F831EA" w:rsidP="00672D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 Федерального закона от 21 ноября 2011 г. N 323-ФЗ "Об основах охраны здоровья </w:t>
      </w:r>
      <w:r w:rsidR="00672DF3">
        <w:rPr>
          <w:color w:val="000000"/>
          <w:sz w:val="28"/>
          <w:szCs w:val="28"/>
        </w:rPr>
        <w:t>граждан в Российской Федерации".</w:t>
      </w:r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2.1.2 Трудового кодекса Российской Федерации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2.1.3 Федерального закона от 21 ноября 2011 г. N 323-ФЗ "Об основах охраны здоровья граждан в Российской Федерации"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2.1.4 Приказ </w:t>
      </w:r>
      <w:proofErr w:type="spellStart"/>
      <w:r>
        <w:rPr>
          <w:color w:val="000000"/>
          <w:sz w:val="28"/>
          <w:szCs w:val="28"/>
        </w:rPr>
        <w:t>Минздравсоцразвития</w:t>
      </w:r>
      <w:proofErr w:type="spellEnd"/>
      <w:r>
        <w:rPr>
          <w:color w:val="000000"/>
          <w:sz w:val="28"/>
          <w:szCs w:val="28"/>
        </w:rPr>
        <w:t xml:space="preserve">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  <w:r w:rsidR="00672DF3">
        <w:rPr>
          <w:color w:val="000000"/>
          <w:sz w:val="28"/>
          <w:szCs w:val="28"/>
        </w:rPr>
        <w:t>.</w:t>
      </w:r>
      <w:proofErr w:type="gramEnd"/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2.1.5 Постановление Минтруда России, Минобразования России от 13 января 2003 г. N 1/29 "Об утверждении Порядка обучения по охране труда и проверки </w:t>
      </w:r>
      <w:proofErr w:type="gramStart"/>
      <w:r>
        <w:rPr>
          <w:color w:val="000000"/>
          <w:sz w:val="28"/>
          <w:szCs w:val="28"/>
        </w:rPr>
        <w:t>знаний требований охраны труда работников организаций</w:t>
      </w:r>
      <w:proofErr w:type="gramEnd"/>
      <w:r>
        <w:rPr>
          <w:color w:val="000000"/>
          <w:sz w:val="28"/>
          <w:szCs w:val="28"/>
        </w:rPr>
        <w:t>"</w:t>
      </w:r>
      <w:r w:rsidR="00672DF3">
        <w:rPr>
          <w:color w:val="000000"/>
          <w:sz w:val="28"/>
          <w:szCs w:val="28"/>
        </w:rPr>
        <w:t>.</w:t>
      </w:r>
    </w:p>
    <w:p w:rsidR="00804E1E" w:rsidRDefault="00F831EA" w:rsidP="00672D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proofErr w:type="gramStart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8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  <w:r w:rsidR="00672DF3">
        <w:rPr>
          <w:color w:val="000000"/>
          <w:sz w:val="28"/>
          <w:szCs w:val="28"/>
        </w:rPr>
        <w:t>.</w:t>
      </w:r>
      <w:proofErr w:type="gramEnd"/>
    </w:p>
    <w:p w:rsidR="00804E1E" w:rsidRDefault="00F831EA" w:rsidP="00672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 w:rsidR="00672DF3">
        <w:rPr>
          <w:color w:val="000000"/>
          <w:sz w:val="28"/>
          <w:szCs w:val="28"/>
        </w:rPr>
        <w:t>.</w:t>
      </w:r>
    </w:p>
    <w:p w:rsidR="00804E1E" w:rsidRDefault="00F831EA" w:rsidP="00672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  <w:r w:rsidR="00672DF3">
        <w:rPr>
          <w:color w:val="000000"/>
          <w:sz w:val="28"/>
          <w:szCs w:val="28"/>
        </w:rPr>
        <w:t>.</w:t>
      </w:r>
    </w:p>
    <w:p w:rsidR="00804E1E" w:rsidRDefault="00F831EA" w:rsidP="00672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действует с 01.03.2022 по 01.03.2028)</w:t>
      </w:r>
      <w:r w:rsidR="00672DF3">
        <w:rPr>
          <w:color w:val="000000"/>
          <w:sz w:val="28"/>
          <w:szCs w:val="28"/>
        </w:rPr>
        <w:t>.</w:t>
      </w:r>
    </w:p>
    <w:p w:rsidR="00804E1E" w:rsidRDefault="00F831EA" w:rsidP="00672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  <w:r w:rsidR="00672DF3">
        <w:rPr>
          <w:color w:val="000000"/>
          <w:sz w:val="28"/>
          <w:szCs w:val="28"/>
        </w:rPr>
        <w:t>.</w:t>
      </w:r>
    </w:p>
    <w:p w:rsidR="00804E1E" w:rsidRDefault="00F831EA" w:rsidP="00672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  <w:r w:rsidR="00672DF3">
        <w:rPr>
          <w:color w:val="000000"/>
          <w:sz w:val="28"/>
          <w:szCs w:val="28"/>
        </w:rPr>
        <w:t>.</w:t>
      </w:r>
    </w:p>
    <w:p w:rsidR="00804E1E" w:rsidRDefault="00804E1E">
      <w:pPr>
        <w:spacing w:line="360" w:lineRule="auto"/>
        <w:jc w:val="both"/>
        <w:rPr>
          <w:color w:val="000000"/>
          <w:sz w:val="27"/>
          <w:szCs w:val="27"/>
        </w:rPr>
      </w:pP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 xml:space="preserve"> самостоятельной работе по выполнению работ на площадке по компетенции «Фармацевтика» конкурсного задания, допускаются участники,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Фармация, профессиональные навыки по работам в лаборатории с лекарственными субстанциями и имеющие необходимые навыки по эксплуатации фармацевтического оборудования и вспомогательных материалов.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3.2 Участник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 xml:space="preserve"> обязан: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ыполнять только ту работу, которая определена его ролью на </w:t>
      </w:r>
      <w:r w:rsidR="00C7057C">
        <w:rPr>
          <w:color w:val="000000"/>
          <w:sz w:val="28"/>
          <w:szCs w:val="28"/>
        </w:rPr>
        <w:t>Отборочных соревнованиях</w:t>
      </w:r>
      <w:r>
        <w:rPr>
          <w:color w:val="000000"/>
          <w:sz w:val="28"/>
          <w:szCs w:val="28"/>
        </w:rPr>
        <w:t>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</w:t>
      </w:r>
      <w:proofErr w:type="gramStart"/>
      <w:r>
        <w:rPr>
          <w:color w:val="000000"/>
          <w:sz w:val="28"/>
          <w:szCs w:val="28"/>
        </w:rPr>
        <w:t xml:space="preserve"> С</w:t>
      </w:r>
      <w:proofErr w:type="gramEnd"/>
      <w:r>
        <w:rPr>
          <w:color w:val="000000"/>
          <w:sz w:val="28"/>
          <w:szCs w:val="28"/>
        </w:rPr>
        <w:t>облюдать требования охраны труда.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</w:t>
      </w:r>
      <w:proofErr w:type="gramStart"/>
      <w:r>
        <w:rPr>
          <w:color w:val="000000"/>
          <w:sz w:val="28"/>
          <w:szCs w:val="28"/>
        </w:rPr>
        <w:t xml:space="preserve"> Н</w:t>
      </w:r>
      <w:proofErr w:type="gramEnd"/>
      <w:r>
        <w:rPr>
          <w:color w:val="000000"/>
          <w:sz w:val="28"/>
          <w:szCs w:val="28"/>
        </w:rPr>
        <w:t xml:space="preserve">емедленно извещать своего непосредственного или вышестоящего руководителя о любой ситуации, угрожающей жизни и здоровью участников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>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рименять безопасные методы и приёмы выполнения работ и оказания первой помощи, инструктаж по охране труда.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-режущие и колющие предметы;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температура, влажность, освещение;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пары пахучих и летучих веществ;</w:t>
      </w:r>
    </w:p>
    <w:p w:rsidR="00804E1E" w:rsidRDefault="00F831EA" w:rsidP="00DF5B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Психологические: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-чрезмерное напряжение внимания;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усиленная нагрузка на зрение;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вынужденная рабочая поза;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умственные перегрузки;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-эмоциональные перегрузки;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монотонность труда;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3.4 Участники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 xml:space="preserve"> (конкурсанты) должны находиться на площадке в спецодежде, </w:t>
      </w:r>
      <w:proofErr w:type="spellStart"/>
      <w:r>
        <w:rPr>
          <w:color w:val="000000"/>
          <w:sz w:val="28"/>
          <w:szCs w:val="28"/>
        </w:rPr>
        <w:t>спецобуви</w:t>
      </w:r>
      <w:proofErr w:type="spellEnd"/>
      <w:r>
        <w:rPr>
          <w:color w:val="000000"/>
          <w:sz w:val="28"/>
          <w:szCs w:val="28"/>
        </w:rPr>
        <w:t xml:space="preserve"> и применять средства индивидуальной защиты: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халат;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сменная обувь;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шапочка;</w:t>
      </w:r>
    </w:p>
    <w:p w:rsidR="00804E1E" w:rsidRDefault="00F831EA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</w:t>
      </w:r>
      <w:r w:rsidR="00672DF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Участникам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 и личной гигиене.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выполнении работ на конкурсной площадке участниками Чемпионата должны выполняться требования пожарной безопасности. 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r w:rsidR="00672D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Конкурсные работы должны проводиться в соответствии с технической документацией задания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>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выполнении конкурсного задания конкурсант должен знать: 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эксплуатации оборудования, механизмов и инструментов, не подвергать их механическим ударам, не допускать падений;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поддерживать порядок и чистоту на рабочем месте;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при выполнении конкурсного задания работать только исправным инструментом;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:rsidR="00804E1E" w:rsidRDefault="00F831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bookmarkStart w:id="6" w:name="_3dy6vkm" w:colFirst="0" w:colLast="0"/>
      <w:bookmarkEnd w:id="6"/>
      <w:r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 концентратов;</w:t>
      </w:r>
    </w:p>
    <w:p w:rsidR="00804E1E" w:rsidRDefault="00F831E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использования водяной бани и электрической плитки; </w:t>
      </w:r>
    </w:p>
    <w:p w:rsidR="00804E1E" w:rsidRDefault="00F831E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3.9. </w:t>
      </w:r>
      <w:proofErr w:type="gramStart"/>
      <w:r>
        <w:rPr>
          <w:color w:val="000000"/>
          <w:sz w:val="28"/>
          <w:szCs w:val="28"/>
        </w:rPr>
        <w:t xml:space="preserve">Участники обязаны соблюдать действующие на </w:t>
      </w:r>
      <w:r w:rsidR="00C7057C">
        <w:rPr>
          <w:color w:val="000000"/>
          <w:sz w:val="28"/>
          <w:szCs w:val="28"/>
        </w:rPr>
        <w:t>Отборочных соревнований</w:t>
      </w:r>
      <w:r>
        <w:rPr>
          <w:color w:val="000000"/>
          <w:sz w:val="28"/>
          <w:szCs w:val="28"/>
        </w:rPr>
        <w:t xml:space="preserve"> правила внутреннего распорядка и графики работы, которыми </w:t>
      </w:r>
      <w:r>
        <w:rPr>
          <w:color w:val="000000"/>
          <w:sz w:val="28"/>
          <w:szCs w:val="28"/>
        </w:rPr>
        <w:lastRenderedPageBreak/>
        <w:t xml:space="preserve">предусматриваются: время начала и окончания работы, перерывы для отдыха и питания и другие вопросы использования времени Чемпионата. </w:t>
      </w:r>
      <w:proofErr w:type="gramEnd"/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В случаях </w:t>
      </w:r>
      <w:proofErr w:type="spellStart"/>
      <w:r>
        <w:rPr>
          <w:color w:val="000000"/>
          <w:sz w:val="28"/>
          <w:szCs w:val="28"/>
        </w:rPr>
        <w:t>травмирования</w:t>
      </w:r>
      <w:proofErr w:type="spellEnd"/>
      <w:r>
        <w:rPr>
          <w:color w:val="000000"/>
          <w:sz w:val="28"/>
          <w:szCs w:val="28"/>
        </w:rPr>
        <w:t xml:space="preserve">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</w:rPr>
      </w:pPr>
      <w:bookmarkStart w:id="7" w:name="_1t3h5sf" w:colFirst="0" w:colLast="0"/>
      <w:bookmarkEnd w:id="7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Перед началом выполнения работ на площадке участник обязан: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04E1E" w:rsidRDefault="00F831E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4d34og8" w:colFirst="0" w:colLast="0"/>
      <w:bookmarkEnd w:id="8"/>
    </w:p>
    <w:p w:rsidR="00804E1E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601"/>
        <w:gridCol w:w="6744"/>
      </w:tblGrid>
      <w:tr w:rsidR="00804E1E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:rsidR="00804E1E" w:rsidRPr="00C7057C" w:rsidRDefault="00F831EA">
            <w:pPr>
              <w:jc w:val="center"/>
              <w:rPr>
                <w:b/>
              </w:rPr>
            </w:pPr>
            <w:r w:rsidRPr="00C7057C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804E1E" w:rsidRPr="00C7057C" w:rsidRDefault="00F831EA">
            <w:pPr>
              <w:jc w:val="center"/>
              <w:rPr>
                <w:b/>
              </w:rPr>
            </w:pPr>
            <w:r w:rsidRPr="00C7057C">
              <w:rPr>
                <w:b/>
              </w:rPr>
              <w:t>Требования безопасности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 w:rsidP="00C7057C">
            <w:pPr>
              <w:jc w:val="both"/>
            </w:pPr>
            <w:r w:rsidRPr="00C7057C">
              <w:t xml:space="preserve">Электроплитка 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При работе не оставлять электроприбор включенным без присмотра, не использовать прибор вблизи взрывчатых </w:t>
            </w:r>
            <w:r w:rsidRPr="00C7057C">
              <w:lastRenderedPageBreak/>
              <w:t>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lastRenderedPageBreak/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легко воспламеняемые вещества, не ставить на прибор посторонние предметы.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При изготовлении запрещается пробовать на вкус и </w:t>
            </w:r>
            <w:proofErr w:type="gramStart"/>
            <w:r w:rsidRPr="00C7057C">
              <w:t>запах</w:t>
            </w:r>
            <w:proofErr w:type="gramEnd"/>
            <w:r w:rsidRPr="00C7057C">
              <w:t xml:space="preserve">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  <w:r w:rsidRPr="00C7057C">
              <w:t xml:space="preserve"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 w:rsidRPr="00C7057C">
              <w:rPr>
                <w:b/>
              </w:rPr>
              <w:t>КАТЕГОРИЧЕСКИ ЗАПРЕЩАЕТСЯ ПЕРСОНАЛУ, ЭКСПЛУАТИРУЮЩЕМУ ШКАФ, ПРОИЗВОДИТЬ РЕМОНТ И РЕГУЛИРОВКУ ХОЛОДИЛЬНОЙ МАШИНЫ.</w:t>
            </w:r>
            <w:r w:rsidRPr="00C7057C">
              <w:t xml:space="preserve"> 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При эксплуатации</w:t>
            </w:r>
            <w:proofErr w:type="gramStart"/>
            <w:r w:rsidRPr="00C7057C">
              <w:t xml:space="preserve"> </w:t>
            </w:r>
            <w:r w:rsidRPr="00C7057C">
              <w:rPr>
                <w:b/>
                <w:u w:val="single"/>
              </w:rPr>
              <w:t>З</w:t>
            </w:r>
            <w:proofErr w:type="gramEnd"/>
            <w:r w:rsidRPr="00C7057C">
              <w:rPr>
                <w:b/>
                <w:u w:val="single"/>
              </w:rPr>
              <w:t>апрещается</w:t>
            </w:r>
            <w:r w:rsidRPr="00C7057C">
              <w:t>: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прикасаться к задней панели системного блока (процессора) при включенном питании;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переключать разъемы интерфейсных кабелей периферийных устрой</w:t>
            </w:r>
            <w:proofErr w:type="gramStart"/>
            <w:r w:rsidRPr="00C7057C">
              <w:t>ств пр</w:t>
            </w:r>
            <w:proofErr w:type="gramEnd"/>
            <w:r w:rsidRPr="00C7057C">
              <w:t>и включенном питании;</w:t>
            </w:r>
            <w:bookmarkStart w:id="9" w:name="2s8eyo1" w:colFirst="0" w:colLast="0"/>
            <w:bookmarkEnd w:id="9"/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производить самостоятельное вскрытие и ремонт оборудования;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работать на компьютере при снятых кожухах;</w:t>
            </w:r>
            <w:bookmarkStart w:id="10" w:name="17dp8vu" w:colFirst="0" w:colLast="0"/>
            <w:bookmarkEnd w:id="10"/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- отключать оборудование от электросети и выдергивать </w:t>
            </w:r>
            <w:proofErr w:type="spellStart"/>
            <w:r w:rsidRPr="00C7057C">
              <w:t>электровилку</w:t>
            </w:r>
            <w:proofErr w:type="spellEnd"/>
            <w:r w:rsidRPr="00C7057C">
              <w:t>, держась за шнур.</w:t>
            </w:r>
            <w:bookmarkStart w:id="11" w:name="3rdcrjn" w:colFirst="0" w:colLast="0"/>
            <w:bookmarkEnd w:id="11"/>
          </w:p>
          <w:p w:rsidR="00804E1E" w:rsidRPr="00C7057C" w:rsidRDefault="00F831EA" w:rsidP="00C7057C">
            <w:pPr>
              <w:spacing w:before="120" w:after="120"/>
            </w:pPr>
            <w:r w:rsidRPr="00C7057C">
              <w:t>- 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Расположите мышь на уровне локтя. Ваши предплечья должны расслабленно опускаться по сторонам.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 xml:space="preserve">Сканер </w:t>
            </w:r>
            <w:proofErr w:type="gramStart"/>
            <w:r w:rsidRPr="00C7057C">
              <w:t>штрих-кодов</w:t>
            </w:r>
            <w:proofErr w:type="gramEnd"/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Подключение сканера к устройству (кассовому аппарату, ПК </w:t>
            </w:r>
            <w:r w:rsidRPr="00C7057C">
              <w:lastRenderedPageBreak/>
              <w:t>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Пользуйтесь только источником питания из комплекта поставки.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оставляйте блок питания сканера включенным в сеть без нагрузки (без сканера).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Розетка для внешнего источника питания сканера должна быть </w:t>
            </w:r>
            <w:proofErr w:type="gramStart"/>
            <w:r w:rsidRPr="00C7057C">
              <w:t>легко доступна</w:t>
            </w:r>
            <w:proofErr w:type="gramEnd"/>
            <w:r w:rsidRPr="00C7057C">
              <w:t>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  <w:r w:rsidRPr="00C7057C">
              <w:t>Для корректной работы сканера и устройства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lastRenderedPageBreak/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Во избежание повреждений от возможных кратковременных скачков в электросети подключите принтер к стабилизатору напряжения или бесперебойному источнику питания.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Для предотвращения поражения электрическим током на устройство не должны попадать жидкости.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Ни в коем случае нельзя выполнять ремонт или отладку включённого в сеть оборудования.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подключать к источнику питания принтера ещё несколько устройств;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вытаскивая вилку из розетки, с усилием не тянуть за шнур;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Нельзя ставить на провод предметы или ходить по нему;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применять устройство при высокой температуре и влажности, при вибрациях;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ставить аппарат на наклонную поверхность;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Нельзя самостоятельно разбирать устройство;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применять бумагу плохого качества;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допускать попадание в технику воды или другой жидкости;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при работе с принтером используйте только </w:t>
            </w:r>
            <w:proofErr w:type="gramStart"/>
            <w:r w:rsidRPr="00C7057C">
              <w:t>оригинальные</w:t>
            </w:r>
            <w:proofErr w:type="gramEnd"/>
            <w:r w:rsidRPr="00C7057C">
              <w:t xml:space="preserve"> комплектующие;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  <w:r w:rsidRPr="00C7057C">
              <w:t>выключайте аппарат из сети в конце рабочего дня.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Запрещается включать электронные </w:t>
            </w:r>
            <w:r w:rsidRPr="00C7057C">
              <w:rPr>
                <w:b/>
              </w:rPr>
              <w:t>весы</w:t>
            </w:r>
            <w:r w:rsidRPr="00C7057C">
              <w:t> в сеть при отсутствии заземления.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• Не нагружайте весы сверх </w:t>
            </w:r>
            <w:proofErr w:type="gramStart"/>
            <w:r w:rsidRPr="00C7057C">
              <w:t>допустимого</w:t>
            </w:r>
            <w:proofErr w:type="gramEnd"/>
            <w:r w:rsidRPr="00C7057C">
              <w:t>, не допускайте резких ударов по платформе; не подвергайте </w:t>
            </w:r>
            <w:r w:rsidRPr="00C7057C">
              <w:rPr>
                <w:b/>
              </w:rPr>
              <w:t>весы</w:t>
            </w:r>
            <w:r w:rsidRPr="00C7057C">
              <w:t> сильной вибрации.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Не пользуйтесь для протирки индикатора растворителями и другими летучими веществами, протирайте </w:t>
            </w:r>
            <w:r w:rsidRPr="00C7057C">
              <w:rPr>
                <w:b/>
              </w:rPr>
              <w:t>весы </w:t>
            </w:r>
            <w:r w:rsidRPr="00C7057C">
              <w:t>сухой мягкой тканью.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• Не работайте в запыленных местах, избегайте прямого попадания воды на электронные </w:t>
            </w:r>
            <w:r w:rsidRPr="00C7057C">
              <w:rPr>
                <w:b/>
              </w:rPr>
              <w:t>весы</w:t>
            </w:r>
            <w:r w:rsidRPr="00C7057C">
              <w:t>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Храните </w:t>
            </w:r>
            <w:r w:rsidRPr="00C7057C">
              <w:rPr>
                <w:b/>
              </w:rPr>
              <w:t>весы</w:t>
            </w:r>
            <w:r w:rsidRPr="00C7057C">
              <w:t> в сухом месте.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• Избегайте резких перепадов температуры и воздушных </w:t>
            </w:r>
            <w:r w:rsidRPr="00C7057C">
              <w:lastRenderedPageBreak/>
              <w:t>потоков от вентиляторов.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При работе не нажимайте сильно на клавиши.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• После перевозки или хранения при низких отрицательных температурах </w:t>
            </w:r>
            <w:proofErr w:type="spellStart"/>
            <w:r w:rsidRPr="00C7057C">
              <w:t>элекстронные</w:t>
            </w:r>
            <w:proofErr w:type="spellEnd"/>
            <w:r w:rsidRPr="00C7057C">
              <w:rPr>
                <w:b/>
              </w:rPr>
              <w:t> весы</w:t>
            </w:r>
            <w:r w:rsidRPr="00C7057C">
              <w:t> можно включать не раньше, чем через 2 часов пребывания в рабочих условиях.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lastRenderedPageBreak/>
              <w:t>Ноутбук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Запрещается: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прикасаться к задней панели системного блока (процессора) при включенном питании;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переключать разъемы интерфейсных кабелей периферийных устрой</w:t>
            </w:r>
            <w:proofErr w:type="gramStart"/>
            <w:r w:rsidRPr="00C7057C">
              <w:t>ств пр</w:t>
            </w:r>
            <w:proofErr w:type="gramEnd"/>
            <w:r w:rsidRPr="00C7057C">
              <w:t>и включенном питании;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производить самостоятельное вскрытие и ремонт оборудования;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- работать на ноутбуке при снятых кожухах;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- отключать оборудование от электросети и выдергивать </w:t>
            </w:r>
            <w:proofErr w:type="spellStart"/>
            <w:r w:rsidRPr="00C7057C">
              <w:t>электровилку</w:t>
            </w:r>
            <w:proofErr w:type="spellEnd"/>
            <w:r w:rsidRPr="00C7057C">
              <w:t>, держась за шнур.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</w:t>
            </w:r>
            <w:proofErr w:type="spellStart"/>
            <w:r w:rsidRPr="00C7057C">
              <w:t>познотонического</w:t>
            </w:r>
            <w:proofErr w:type="spellEnd"/>
            <w:r w:rsidRPr="00C7057C">
              <w:t xml:space="preserve"> утомления выполнять комплексы упражнений.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Работы, связанные с необходимостью прокаливания веще</w:t>
            </w:r>
            <w:proofErr w:type="gramStart"/>
            <w:r w:rsidRPr="00C7057C">
              <w:t>ств пр</w:t>
            </w:r>
            <w:proofErr w:type="gramEnd"/>
            <w:r w:rsidRPr="00C7057C">
              <w:t>и температурах свыше 300 °C, следует проводить в фарфоровой или кварцевой посуде.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</w:t>
            </w:r>
            <w:proofErr w:type="gramStart"/>
            <w:r w:rsidRPr="00C7057C">
              <w:t>Вынутую из шкафа горячую посуду нельзя сразу ставить на холодные, а тем более мокрые поверхности.</w:t>
            </w:r>
            <w:proofErr w:type="gramEnd"/>
            <w:r w:rsidRPr="00C7057C">
              <w:t xml:space="preserve"> Для этого следует использовать лист асбестового картона.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допускается зачистка краев трубок на мелкозернистом </w:t>
            </w:r>
            <w:r w:rsidRPr="00C7057C">
              <w:lastRenderedPageBreak/>
              <w:t>наждачном камне.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шкафу.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Запрещается в тонкостенной стеклянной посуде хранить растворы щелочей и концентрированных кислот.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Обезвреживать посуду следует в вытяжном шкафу.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На мойку следует направлять посуду, свободную от остатков веществ.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Для механического удаления приставших к стенкам сосуда загрязнений и увеличения эффективности моющих сре</w:t>
            </w:r>
            <w:proofErr w:type="gramStart"/>
            <w:r w:rsidRPr="00C7057C">
              <w:t>дств сл</w:t>
            </w:r>
            <w:proofErr w:type="gramEnd"/>
            <w:r w:rsidRPr="00C7057C">
              <w:t>едует применять различной формы ерши и щетки с мягкой щетиной.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1.Использовать строго по назначению.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2.Беречь от ударов и падений.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3.Обработывать до и после использования.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1.Использовать строго по назначению.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2.Беречь от ударов и падений.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3.Обработывать до и после использования. 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1.Использовать строго по назначению.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2.Во время использования печатей, заполнения их чернилами, избегать попадания чернил в слизистые оболочки. В случае попадания  промыть большим количеством воды.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1.Выдвигать небольшую часть лезвия 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2. Работать канцелярским ножом на рабочей доске 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3. Выполняя разрезы, крепко держать нож одной рукой, а второй - материал с которым работаешь 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lastRenderedPageBreak/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lastRenderedPageBreak/>
              <w:t>Ножницы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Не работать ножницами с ослабленным креплением</w:t>
            </w:r>
            <w:proofErr w:type="gramStart"/>
            <w:r w:rsidRPr="00C7057C">
              <w:br/>
              <w:t>Р</w:t>
            </w:r>
            <w:proofErr w:type="gramEnd"/>
            <w:r w:rsidRPr="00C7057C">
              <w:t>аботать только исправным инструментом: хорошо отрегулированными и заточенными ножницами</w:t>
            </w:r>
            <w:r w:rsidRPr="00C7057C">
              <w:br/>
              <w:t>Работать ножницами только на своем рабочем месте</w:t>
            </w:r>
            <w:r w:rsidRPr="00C7057C">
              <w:br/>
              <w:t>Следить за движением лезвий во время работы</w:t>
            </w:r>
            <w:r w:rsidRPr="00C7057C">
              <w:br/>
              <w:t>Ножницы класть кольцами к себе</w:t>
            </w:r>
            <w:r w:rsidRPr="00C7057C">
              <w:br/>
              <w:t>Подавать ножницы кольцами вперед</w:t>
            </w:r>
            <w:r w:rsidRPr="00C7057C">
              <w:br/>
              <w:t xml:space="preserve"> Не оставлять ножницы открытыми</w:t>
            </w:r>
            <w:r w:rsidRPr="00C7057C">
              <w:br/>
              <w:t xml:space="preserve"> Хранить ножницы в чехле лезвиями вниз</w:t>
            </w:r>
            <w:r w:rsidRPr="00C7057C">
              <w:br/>
              <w:t>Не играть с ножницами, не подноси ножницы к лицу</w:t>
            </w:r>
            <w:r w:rsidRPr="00C7057C">
              <w:br/>
              <w:t>Использовать ножницы по назначению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 xml:space="preserve">1.Запрещается оставлять без присмотра дезинфицирующие средства или передавать их кому бы то ни было. </w:t>
            </w:r>
            <w:proofErr w:type="gramStart"/>
            <w:r w:rsidRPr="00C7057C">
              <w:t>Оставшиеся</w:t>
            </w:r>
            <w:proofErr w:type="gramEnd"/>
            <w:r w:rsidRPr="00C7057C">
              <w:t> </w:t>
            </w:r>
            <w:proofErr w:type="spellStart"/>
            <w:r w:rsidRPr="00C7057C">
              <w:t>дезсредства</w:t>
            </w:r>
            <w:proofErr w:type="spellEnd"/>
            <w:r w:rsidRPr="00C7057C">
              <w:t> после обработок в конце рабочего дня сдают лицу, ответственному за хранение </w:t>
            </w:r>
            <w:proofErr w:type="spellStart"/>
            <w:r w:rsidRPr="00C7057C">
              <w:t>дезсредств</w:t>
            </w:r>
            <w:proofErr w:type="spellEnd"/>
            <w:r w:rsidRPr="00C7057C">
              <w:t xml:space="preserve">. 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2. Приготовленные рабочие растворы </w:t>
            </w:r>
            <w:proofErr w:type="spellStart"/>
            <w:r w:rsidRPr="00C7057C">
              <w:t>дезсредств</w:t>
            </w:r>
            <w:proofErr w:type="spellEnd"/>
            <w:r w:rsidRPr="00C7057C">
              <w:t>, хранить отдельно от лекарственных средств.</w:t>
            </w:r>
          </w:p>
        </w:tc>
      </w:tr>
      <w:tr w:rsidR="00804E1E">
        <w:tc>
          <w:tcPr>
            <w:tcW w:w="2601" w:type="dxa"/>
            <w:shd w:val="clear" w:color="auto" w:fill="auto"/>
          </w:tcPr>
          <w:p w:rsidR="00804E1E" w:rsidRPr="00C7057C" w:rsidRDefault="00F831EA">
            <w:pPr>
              <w:jc w:val="both"/>
            </w:pPr>
            <w:r w:rsidRPr="00C7057C">
              <w:t>Концентрированные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:rsidR="00804E1E" w:rsidRPr="00C7057C" w:rsidRDefault="00F8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057C">
              <w:t>Работать только в лабораторных перчатках.</w:t>
            </w:r>
          </w:p>
        </w:tc>
      </w:tr>
    </w:tbl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</w:t>
      </w:r>
      <w:r w:rsidR="00672DF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требования безопасности при изготовлении лекарственных форм</w:t>
      </w:r>
    </w:p>
    <w:p w:rsidR="00804E1E" w:rsidRDefault="00F831E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</w:t>
      </w:r>
      <w:r w:rsidR="00672D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804E1E" w:rsidRPr="00C7057C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/>
          <w:b/>
          <w:color w:val="000000"/>
          <w:sz w:val="28"/>
          <w:szCs w:val="28"/>
        </w:rPr>
      </w:pPr>
      <w:r w:rsidRPr="00C7057C">
        <w:rPr>
          <w:rFonts w:eastAsia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</w:t>
      </w:r>
      <w:bookmarkStart w:id="12" w:name="_GoBack"/>
      <w:bookmarkEnd w:id="12"/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возникновении аварий и ситуаций, которые могут привести к авариям и несчастным случаям, необходимо: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</w:t>
      </w:r>
      <w:proofErr w:type="gramStart"/>
      <w:r>
        <w:rPr>
          <w:color w:val="000000"/>
          <w:sz w:val="28"/>
          <w:szCs w:val="28"/>
        </w:rPr>
        <w:t xml:space="preserve"> Н</w:t>
      </w:r>
      <w:proofErr w:type="gramEnd"/>
      <w:r>
        <w:rPr>
          <w:color w:val="000000"/>
          <w:sz w:val="28"/>
          <w:szCs w:val="28"/>
        </w:rPr>
        <w:t>емедленно прекратить работы и известить руководителя работ.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6.2.3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 случае возникновения у участника плохого самочувствия или получения травмы сообщить об этом эксперту.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6.2.4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возникновении пожара необходимо немедленно оповестить руководителя/эксперта. Приложить усилия для исключения состояния страха и паники.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6.3.1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6.3.4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 xml:space="preserve">повестить всех участников Чемпионата, находящихся в производственном помещении и принять меры к тушению очага пожара. Горящие </w:t>
      </w:r>
      <w:r>
        <w:rPr>
          <w:color w:val="000000"/>
          <w:sz w:val="28"/>
          <w:szCs w:val="28"/>
        </w:rPr>
        <w:lastRenderedPageBreak/>
        <w:t>части электроустановок и электропроводку, находящиеся под напряжением, тушить углекислотным огнетушителем.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6.3.5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ринять меры к вызову на место пожара непосредственного руководителя или других должностных лиц.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6.4.1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:rsidR="00804E1E" w:rsidRDefault="00F831E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6.5.2</w:t>
      </w:r>
      <w:proofErr w:type="gramStart"/>
      <w:r>
        <w:rPr>
          <w:color w:val="000000"/>
          <w:sz w:val="28"/>
          <w:szCs w:val="28"/>
        </w:rPr>
        <w:t xml:space="preserve"> Л</w:t>
      </w:r>
      <w:proofErr w:type="gramEnd"/>
      <w:r>
        <w:rPr>
          <w:color w:val="000000"/>
          <w:sz w:val="28"/>
          <w:szCs w:val="28"/>
        </w:rPr>
        <w:t>юбая жидкость, случайно разлитая на поверхность лабораторного стола, убирается только с помощью салфеток, либо бумажных полотенец, в перчатках. Прикасаться к разлитым жидкостям руками запрещено.</w:t>
      </w:r>
    </w:p>
    <w:p w:rsidR="00804E1E" w:rsidRDefault="00804E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3" w:name="_26in1rg" w:colFirst="0" w:colLast="0"/>
      <w:bookmarkEnd w:id="13"/>
    </w:p>
    <w:p w:rsidR="00804E1E" w:rsidRPr="00C7057C" w:rsidRDefault="00F831E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C7057C">
        <w:rPr>
          <w:rFonts w:eastAsia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804E1E" w:rsidRDefault="00F831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осле окончания работ каждый участник обязан: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:rsidR="00804E1E" w:rsidRDefault="00F831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sectPr w:rsidR="00804E1E" w:rsidSect="00D1252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B2" w:rsidRDefault="008536B2">
      <w:r>
        <w:separator/>
      </w:r>
    </w:p>
  </w:endnote>
  <w:endnote w:type="continuationSeparator" w:id="0">
    <w:p w:rsidR="008536B2" w:rsidRDefault="00853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1E" w:rsidRDefault="00BB31D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F831EA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E21777">
      <w:rPr>
        <w:rFonts w:ascii="Calibri" w:eastAsia="Calibri" w:hAnsi="Calibri" w:cs="Calibri"/>
        <w:noProof/>
        <w:color w:val="000000"/>
        <w:sz w:val="22"/>
        <w:szCs w:val="22"/>
      </w:rPr>
      <w:t>14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804E1E" w:rsidRDefault="00804E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1E" w:rsidRDefault="00804E1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B2" w:rsidRDefault="008536B2">
      <w:r>
        <w:separator/>
      </w:r>
    </w:p>
  </w:footnote>
  <w:footnote w:type="continuationSeparator" w:id="0">
    <w:p w:rsidR="008536B2" w:rsidRDefault="00853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AC7"/>
    <w:multiLevelType w:val="multilevel"/>
    <w:tmpl w:val="F39E78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5ED7B47"/>
    <w:multiLevelType w:val="multilevel"/>
    <w:tmpl w:val="4E44D96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A33734B"/>
    <w:multiLevelType w:val="multilevel"/>
    <w:tmpl w:val="8634F2D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3">
    <w:nsid w:val="6A8534E2"/>
    <w:multiLevelType w:val="multilevel"/>
    <w:tmpl w:val="1478A2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397327A"/>
    <w:multiLevelType w:val="multilevel"/>
    <w:tmpl w:val="7C30D36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7A828A8"/>
    <w:multiLevelType w:val="multilevel"/>
    <w:tmpl w:val="026E96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E1E"/>
    <w:rsid w:val="000A30C2"/>
    <w:rsid w:val="00672DF3"/>
    <w:rsid w:val="00804E1E"/>
    <w:rsid w:val="008536B2"/>
    <w:rsid w:val="00BB31D9"/>
    <w:rsid w:val="00C7057C"/>
    <w:rsid w:val="00D052D0"/>
    <w:rsid w:val="00D1252B"/>
    <w:rsid w:val="00DF5B06"/>
    <w:rsid w:val="00E21777"/>
    <w:rsid w:val="00F8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52B"/>
  </w:style>
  <w:style w:type="paragraph" w:styleId="1">
    <w:name w:val="heading 1"/>
    <w:basedOn w:val="a"/>
    <w:next w:val="a"/>
    <w:uiPriority w:val="9"/>
    <w:qFormat/>
    <w:rsid w:val="00D1252B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D1252B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D1252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1252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D1252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1252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25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1252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D125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1252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D1252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2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2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D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6701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3580</Words>
  <Characters>20411</Characters>
  <Application>Microsoft Office Word</Application>
  <DocSecurity>0</DocSecurity>
  <Lines>170</Lines>
  <Paragraphs>47</Paragraphs>
  <ScaleCrop>false</ScaleCrop>
  <Company/>
  <LinksUpToDate>false</LinksUpToDate>
  <CharactersWithSpaces>23944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</cp:lastModifiedBy>
  <cp:revision>8</cp:revision>
  <dcterms:created xsi:type="dcterms:W3CDTF">2023-02-17T09:06:00Z</dcterms:created>
  <dcterms:modified xsi:type="dcterms:W3CDTF">2023-05-31T04:59:00Z</dcterms:modified>
</cp:coreProperties>
</file>