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rPr>
          <w:rFonts w:eastAsia="Times New Roman" w:cs="Times New Roman"/>
          <w:color w:val="000000"/>
          <w:sz w:val="52"/>
          <w:szCs w:val="52"/>
        </w:rPr>
      </w:pPr>
      <w:r>
        <w:rPr/>
        <w:drawing>
          <wp:inline distT="0" distB="0" distL="0" distR="0">
            <wp:extent cx="3556635" cy="137160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eastAsia="Times New Roman" w:cs="Times New Roman"/>
          <w:color w:val="000000"/>
          <w:sz w:val="52"/>
          <w:szCs w:val="52"/>
        </w:rPr>
      </w:pPr>
      <w:r>
        <w:rPr>
          <w:rFonts w:eastAsia="Times New Roman" w:cs="Times New Roman"/>
          <w:color w:val="000000"/>
          <w:sz w:val="52"/>
          <w:szCs w:val="52"/>
        </w:rPr>
      </w:r>
    </w:p>
    <w:p>
      <w:pPr>
        <w:pStyle w:val="Normal"/>
        <w:spacing w:lineRule="auto" w:line="240"/>
        <w:jc w:val="center"/>
        <w:rPr>
          <w:rFonts w:eastAsia="Times New Roman" w:cs="Times New Roman"/>
          <w:color w:val="000000"/>
          <w:sz w:val="52"/>
          <w:szCs w:val="52"/>
        </w:rPr>
      </w:pPr>
      <w:r>
        <w:rPr>
          <w:rFonts w:eastAsia="Times New Roman" w:cs="Times New Roman"/>
          <w:color w:val="000000"/>
          <w:sz w:val="52"/>
          <w:szCs w:val="52"/>
        </w:rPr>
      </w:r>
    </w:p>
    <w:p>
      <w:pPr>
        <w:pStyle w:val="Normal"/>
        <w:spacing w:lineRule="auto" w:line="240"/>
        <w:jc w:val="center"/>
        <w:rPr>
          <w:rFonts w:eastAsia="Times New Roman" w:cs="Times New Roman"/>
          <w:color w:val="000000"/>
          <w:sz w:val="52"/>
          <w:szCs w:val="52"/>
        </w:rPr>
      </w:pPr>
      <w:r>
        <w:rPr>
          <w:rFonts w:eastAsia="Times New Roman" w:cs="Times New Roman"/>
          <w:color w:val="000000"/>
          <w:sz w:val="52"/>
          <w:szCs w:val="52"/>
        </w:rPr>
      </w:r>
    </w:p>
    <w:p>
      <w:pPr>
        <w:pStyle w:val="Normal"/>
        <w:spacing w:lineRule="auto" w:line="240"/>
        <w:jc w:val="center"/>
        <w:rPr>
          <w:rFonts w:eastAsia="Times New Roman" w:cs="Times New Roman"/>
          <w:color w:val="000000"/>
          <w:sz w:val="52"/>
          <w:szCs w:val="52"/>
        </w:rPr>
      </w:pPr>
      <w:r>
        <w:rPr>
          <w:rFonts w:eastAsia="Times New Roman" w:cs="Times New Roman"/>
          <w:color w:val="000000"/>
          <w:sz w:val="52"/>
          <w:szCs w:val="52"/>
        </w:rPr>
      </w:r>
    </w:p>
    <w:p>
      <w:pPr>
        <w:pStyle w:val="Normal"/>
        <w:spacing w:lineRule="auto" w:line="240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>
      <w:pPr>
        <w:pStyle w:val="Normal"/>
        <w:spacing w:lineRule="auto" w:line="240"/>
        <w:jc w:val="center"/>
        <w:rPr>
          <w:rFonts w:eastAsia="Times New Roman" w:cs="Times New Roman"/>
          <w:color w:val="000000"/>
          <w:sz w:val="52"/>
          <w:szCs w:val="52"/>
        </w:rPr>
      </w:pPr>
      <w:r>
        <w:rPr>
          <w:rFonts w:eastAsia="Times New Roman" w:cs="Times New Roman"/>
          <w:color w:val="000000"/>
          <w:sz w:val="52"/>
          <w:szCs w:val="52"/>
        </w:rPr>
      </w:r>
    </w:p>
    <w:p>
      <w:pPr>
        <w:pStyle w:val="Normal"/>
        <w:spacing w:lineRule="auto" w:line="240"/>
        <w:jc w:val="center"/>
        <w:rPr>
          <w:rFonts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/>
          <w:color w:val="000000"/>
          <w:sz w:val="36"/>
          <w:szCs w:val="36"/>
        </w:rPr>
        <w:t>компетенция «Страховое дело»</w:t>
      </w:r>
    </w:p>
    <w:p>
      <w:pPr>
        <w:pStyle w:val="Normal"/>
        <w:spacing w:lineRule="auto" w:line="240"/>
        <w:jc w:val="center"/>
        <w:rPr>
          <w:rFonts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/>
          <w:color w:val="000000"/>
          <w:sz w:val="36"/>
          <w:szCs w:val="36"/>
        </w:rPr>
        <w:t>Регионального этапа Чемпионата по профессиональному мастерству «Профессионалы» в 2023 г.</w:t>
      </w:r>
    </w:p>
    <w:p>
      <w:pPr>
        <w:pStyle w:val="Normal"/>
        <w:spacing w:lineRule="auto" w:line="240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 2023 г.</w:t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keepNext w:val="true"/>
        <w:keepLines/>
        <w:spacing w:lineRule="auto" w:line="480"/>
        <w:jc w:val="center"/>
        <w:rPr>
          <w:rFonts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"/>
            <w:tabs>
              <w:tab w:val="clear" w:pos="720"/>
              <w:tab w:val="right" w:pos="9911" w:leader="none"/>
            </w:tabs>
            <w:spacing w:lineRule="auto" w:line="360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webHidden/>
              <w:sz w:val="28"/>
              <w:u w:val="single"/>
              <w:szCs w:val="28"/>
              <w:vanish w:val="false"/>
              <w:rFonts w:eastAsia="Times New Roman" w:cs="Times New Roman"/>
              <w:color w:val="0000FF"/>
            </w:rPr>
            <w:instrText xml:space="preserve"> TOC \z \o "1-9" \u \h</w:instrText>
          </w:r>
          <w:r>
            <w:rPr>
              <w:webHidden/>
              <w:sz w:val="28"/>
              <w:u w:val="single"/>
              <w:szCs w:val="28"/>
              <w:vanish w:val="false"/>
              <w:rFonts w:eastAsia="Times New Roman" w:cs="Times New Roman"/>
              <w:color w:val="0000FF"/>
            </w:rPr>
            <w:fldChar w:fldCharType="separate"/>
          </w:r>
          <w:hyperlink w:anchor="_heading=h.30j0zll" w:tgtFrame="#_heading=h.30j0zll">
            <w:r>
              <w:rPr>
                <w:webHidden/>
                <w:rFonts w:eastAsia="Times New Roman" w:cs="Times New Roman"/>
                <w:vanish w:val="false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gtFrame="#_heading=h.30j0zll">
            <w:r>
              <w:rPr>
                <w:webHidden/>
                <w:rFonts w:eastAsia="Times New Roman" w:cs="Times New Roman"/>
                <w:vanish w:val="false"/>
                <w:color w:val="000000"/>
                <w:sz w:val="28"/>
                <w:szCs w:val="28"/>
              </w:rPr>
              <w:tab/>
              <w:t>3</w:t>
            </w:r>
          </w:hyperlink>
        </w:p>
        <w:p>
          <w:pPr>
            <w:pStyle w:val="Normal"/>
            <w:tabs>
              <w:tab w:val="clear" w:pos="720"/>
              <w:tab w:val="right" w:pos="9911" w:leader="none"/>
            </w:tabs>
            <w:spacing w:lineRule="auto" w:line="360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gtFrame="#_heading=h.1fob9te">
            <w:r>
              <w:rPr>
                <w:webHidden/>
                <w:rFonts w:eastAsia="Times New Roman" w:cs="Times New Roman"/>
                <w:vanish w:val="false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gtFrame="#_heading=h.1fob9te">
            <w:r>
              <w:rPr>
                <w:webHidden/>
                <w:rFonts w:eastAsia="Times New Roman" w:cs="Times New Roman"/>
                <w:vanish w:val="false"/>
                <w:color w:val="000000"/>
                <w:sz w:val="28"/>
                <w:szCs w:val="28"/>
              </w:rPr>
              <w:tab/>
              <w:t>3</w:t>
            </w:r>
          </w:hyperlink>
        </w:p>
        <w:p>
          <w:pPr>
            <w:pStyle w:val="Normal"/>
            <w:tabs>
              <w:tab w:val="clear" w:pos="720"/>
              <w:tab w:val="right" w:pos="9911" w:leader="none"/>
            </w:tabs>
            <w:spacing w:lineRule="auto" w:line="360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gtFrame="#_heading=h.2et92p0">
            <w:r>
              <w:rPr>
                <w:webHidden/>
                <w:rFonts w:eastAsia="Times New Roman" w:cs="Times New Roman"/>
                <w:vanish w:val="false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gtFrame="#_heading=h.2et92p0">
            <w:r>
              <w:rPr>
                <w:webHidden/>
                <w:rFonts w:eastAsia="Times New Roman" w:cs="Times New Roman"/>
                <w:vanish w:val="false"/>
                <w:color w:val="000000"/>
                <w:sz w:val="28"/>
                <w:szCs w:val="28"/>
              </w:rPr>
              <w:tab/>
              <w:t>3</w:t>
            </w:r>
          </w:hyperlink>
        </w:p>
        <w:p>
          <w:pPr>
            <w:pStyle w:val="Normal"/>
            <w:tabs>
              <w:tab w:val="clear" w:pos="720"/>
              <w:tab w:val="right" w:pos="9911" w:leader="none"/>
            </w:tabs>
            <w:spacing w:lineRule="auto" w:line="360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gtFrame="#_heading=h.tyjcwt">
            <w:r>
              <w:rPr>
                <w:webHidden/>
                <w:rFonts w:eastAsia="Times New Roman" w:cs="Times New Roman"/>
                <w:vanish w:val="false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gtFrame="#_heading=h.tyjcwt">
            <w:r>
              <w:rPr>
                <w:webHidden/>
                <w:rFonts w:eastAsia="Times New Roman" w:cs="Times New Roman"/>
                <w:vanish w:val="false"/>
                <w:color w:val="000000"/>
                <w:sz w:val="28"/>
                <w:szCs w:val="28"/>
              </w:rPr>
              <w:tab/>
            </w:r>
          </w:hyperlink>
          <w:r>
            <w:rPr>
              <w:rFonts w:eastAsia="Times New Roman" w:cs="Times New Roman"/>
              <w:color w:val="000000"/>
              <w:sz w:val="28"/>
              <w:szCs w:val="28"/>
            </w:rPr>
            <w:t>4</w:t>
          </w:r>
        </w:p>
        <w:p>
          <w:pPr>
            <w:pStyle w:val="Normal"/>
            <w:tabs>
              <w:tab w:val="clear" w:pos="720"/>
              <w:tab w:val="right" w:pos="9911" w:leader="none"/>
            </w:tabs>
            <w:spacing w:lineRule="auto" w:line="360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gtFrame="#_heading=h.3dy6vkm">
            <w:r>
              <w:rPr>
                <w:webHidden/>
                <w:rFonts w:eastAsia="Times New Roman" w:cs="Times New Roman"/>
                <w:vanish w:val="false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gtFrame="#_heading=h.3dy6vkm">
            <w:r>
              <w:rPr>
                <w:webHidden/>
                <w:rFonts w:eastAsia="Times New Roman" w:cs="Times New Roman"/>
                <w:vanish w:val="false"/>
                <w:color w:val="000000"/>
                <w:sz w:val="28"/>
                <w:szCs w:val="28"/>
              </w:rPr>
              <w:tab/>
            </w:r>
          </w:hyperlink>
          <w:r>
            <w:rPr>
              <w:rFonts w:eastAsia="Times New Roman" w:cs="Times New Roman"/>
              <w:color w:val="000000"/>
              <w:sz w:val="28"/>
              <w:szCs w:val="28"/>
            </w:rPr>
            <w:t>7</w:t>
          </w:r>
        </w:p>
        <w:p>
          <w:pPr>
            <w:pStyle w:val="Normal"/>
            <w:tabs>
              <w:tab w:val="clear" w:pos="720"/>
              <w:tab w:val="right" w:pos="9911" w:leader="none"/>
            </w:tabs>
            <w:spacing w:lineRule="auto" w:line="360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gtFrame="#_heading=h.1t3h5sf">
            <w:r>
              <w:rPr>
                <w:webHidden/>
                <w:rFonts w:eastAsia="Times New Roman" w:cs="Times New Roman"/>
                <w:vanish w:val="false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gtFrame="#_heading=h.1t3h5sf">
            <w:r>
              <w:rPr>
                <w:webHidden/>
                <w:rFonts w:eastAsia="Times New Roman" w:cs="Times New Roman"/>
                <w:vanish w:val="false"/>
                <w:color w:val="000000"/>
                <w:sz w:val="28"/>
                <w:szCs w:val="28"/>
              </w:rPr>
              <w:tab/>
              <w:t>8</w:t>
            </w:r>
          </w:hyperlink>
        </w:p>
        <w:p>
          <w:pPr>
            <w:pStyle w:val="Normal"/>
            <w:tabs>
              <w:tab w:val="clear" w:pos="720"/>
              <w:tab w:val="right" w:pos="9911" w:leader="none"/>
            </w:tabs>
            <w:spacing w:lineRule="auto" w:line="360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gtFrame="#_heading=h.4d34og8">
            <w:r>
              <w:rPr>
                <w:webHidden/>
                <w:rFonts w:eastAsia="Times New Roman" w:cs="Times New Roman"/>
                <w:vanish w:val="false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gtFrame="#_heading=h.4d34og8">
            <w:r>
              <w:rPr>
                <w:webHidden/>
                <w:rFonts w:eastAsia="Times New Roman" w:cs="Times New Roman"/>
                <w:vanish w:val="false"/>
                <w:color w:val="000000"/>
                <w:sz w:val="28"/>
                <w:szCs w:val="28"/>
              </w:rPr>
              <w:tab/>
              <w:t>9</w:t>
            </w:r>
          </w:hyperlink>
          <w:r>
            <w:rPr>
              <w:sz w:val="28"/>
              <w:szCs w:val="28"/>
              <w:vanish w:val="false"/>
              <w:rFonts w:eastAsia="Times New Roman" w:cs="Times New Roman"/>
              <w:color w:val="000000"/>
            </w:rPr>
            <w:fldChar w:fldCharType="end"/>
          </w:r>
        </w:p>
      </w:sdtContent>
    </w:sdt>
    <w:p>
      <w:pPr>
        <w:pStyle w:val="Normal"/>
        <w:spacing w:lineRule="auto" w:line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keepNext w:val="true"/>
        <w:keepLines/>
        <w:spacing w:lineRule="auto" w:line="360"/>
        <w:jc w:val="center"/>
        <w:rPr>
          <w:rFonts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</w:r>
      <w:bookmarkStart w:id="2" w:name="_heading=h.gjdgxs"/>
      <w:bookmarkStart w:id="3" w:name="_heading=h.gjdgxs"/>
      <w:bookmarkEnd w:id="3"/>
      <w:r>
        <w:br w:type="page"/>
      </w:r>
    </w:p>
    <w:p>
      <w:pPr>
        <w:pStyle w:val="Normal"/>
        <w:keepNext w:val="true"/>
        <w:keepLines/>
        <w:spacing w:lineRule="auto" w:line="360"/>
        <w:jc w:val="center"/>
        <w:rPr>
          <w:rFonts w:eastAsia="Times New Roman" w:cs="Times New Roman"/>
          <w:b/>
          <w:b/>
          <w:color w:val="000000"/>
          <w:sz w:val="28"/>
          <w:szCs w:val="28"/>
        </w:rPr>
      </w:pPr>
      <w:bookmarkStart w:id="4" w:name="_heading=h.30j0zll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1. Область применения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Регионального Чемпионата по профессиональному мастерству «Профессионалы» в 2023 г. (далее Чемпионата).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Регионального Чемпионата по профессиональному мастерству «Профессионалы» в 2023 г. компетенции «Страховое дело». </w:t>
      </w:r>
    </w:p>
    <w:p>
      <w:pPr>
        <w:pStyle w:val="Normal"/>
        <w:spacing w:lineRule="auto" w:line="36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  <w:bookmarkStart w:id="5" w:name="_heading=h.1fob9te"/>
      <w:bookmarkStart w:id="6" w:name="_heading=h.1fob9te"/>
      <w:bookmarkEnd w:id="6"/>
    </w:p>
    <w:p>
      <w:pPr>
        <w:pStyle w:val="Normal"/>
        <w:keepNext w:val="true"/>
        <w:keepLines/>
        <w:spacing w:lineRule="auto" w:line="360"/>
        <w:jc w:val="center"/>
        <w:rPr>
          <w:rFonts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>
        <w:rPr/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Постановление Правительства РФ от 24.12.2021 N 2464 (ред. от 30.12.2022)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>2.1.3.  СанПиН 2.2.2/2.4.1340-03 Гигиенические требования к персональным ЭВМ</w:t>
      </w:r>
    </w:p>
    <w:p>
      <w:pPr>
        <w:pStyle w:val="Normal"/>
        <w:spacing w:lineRule="auto" w:line="24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Normal"/>
        <w:keepNext w:val="true"/>
        <w:keepLines/>
        <w:spacing w:lineRule="auto" w:line="360"/>
        <w:jc w:val="center"/>
        <w:rPr>
          <w:rFonts w:eastAsia="Times New Roman" w:cs="Times New Roman"/>
          <w:b/>
          <w:b/>
          <w:color w:val="000000"/>
          <w:sz w:val="28"/>
          <w:szCs w:val="28"/>
        </w:rPr>
      </w:pPr>
      <w:bookmarkStart w:id="7" w:name="_heading=h.2et92p0"/>
      <w:bookmarkEnd w:id="7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3.1. К выполнению конкурсного задания по компетенции «Страховое дело» допускаются участники Чемпионата,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производстве), ознакомленные с инструкцией по охране труда, не имеющие противопоказаний к выполнению заданий по состоянию здоровья и имеющие необходимые навыки по эксплуатации инструмента, приспособлений и оборудования.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 Участник Чемпионата обязан: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3.2.1. Выполнять только ту работу, которая определена его ролью на Чемпионате.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3.2.2. Правильно применять средства индивидуальной и коллективной защиты.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3.3.3. Соблюдать требования охраны труда.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3.3.4. 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3.3.5. Применять безопасные методы и приёмы выполнения работ и оказания первой помощи, инструктаж по охране труда.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 При выполнении работ на участника Чемпионата возможны воздействия следующих опасных и вредных производственных факторов: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3.4.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3.5. Конкурсные работы должны проводиться в соответствии с технической документацией задания Чемпионата.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3.6.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3.7. В случаях травмирования или недомогания, необходимо прекратить работу, известить об этом экспертов и обратиться в медицинское учреждение.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3.8. Лица, не соблюдающие настоящие Правила, привлекаются к ответственности согласно действующему законодательству.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3.9. Несоблюдение участником норм и правил охраны труда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>
      <w:pPr>
        <w:pStyle w:val="Normal"/>
        <w:spacing w:lineRule="auto" w:line="24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  <w:bookmarkStart w:id="8" w:name="_heading=h.tyjcwt"/>
      <w:bookmarkStart w:id="9" w:name="_heading=h.tyjcwt"/>
      <w:bookmarkEnd w:id="9"/>
    </w:p>
    <w:p>
      <w:pPr>
        <w:pStyle w:val="Normal"/>
        <w:keepNext w:val="true"/>
        <w:keepLines/>
        <w:spacing w:lineRule="auto" w:line="360"/>
        <w:jc w:val="center"/>
        <w:rPr>
          <w:rFonts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4.1. Перед началом выполнения работ конкурсант обязан: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4.1.1.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 окончании ознакомительного периода, участники подтверждают свое ознакомление со всеми процессами, подписав протокол прохождения инструктажа.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4.1.2. Подготовить рабочее место: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-проверить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-кабели электропитания, удлинители, сетевые фильтры должны находиться с тыльной стороны рабочего места;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-убедиться в отсутствии засветок, отражений и бликов на экране монитора;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-включить электропитание в последовательности, установленной инструкцией по эксплуатации на оборудование; 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-убедиться в правильном выполнении процедуры загрузки оборудования, правильных настройках.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4.1.3. Подготовить инструмент и оборудование, разрешенное к самостоятельной работе: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7"/>
        <w:gridCol w:w="7363"/>
      </w:tblGrid>
      <w:tr>
        <w:trPr>
          <w:tblHeader w:val="true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140" w:leader="none"/>
              </w:tabs>
              <w:spacing w:lineRule="auto" w:line="24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Персональный компьютер, ноутбук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Под руководством технического специалиста проверить работу персонального компьютера и программного обеспечения.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Проверить исправность оборудования и приспособлений: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наличие защитных кожухов (в системном блоке);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исправность работы мыши и клавиатуры;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исправность цветопередачи монитора;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отсутствие розеток и/или иных проводов в зоне досягаемости;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скорость работы при полной загруженности ПК;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60–70 см);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Проверить синхронность работы ПК и принтера;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совершить пробный запуск тестовой печати;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проверить наличие тонера и бумаги.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Электробезопасность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Используйте шнур питания, поставляемый с принтером.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Не используйте удлинитель или сетевой разветвитель.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Периферийные устройства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Под руководством технического эксперта проверить работу периферийных устройств (при наличии)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Накопители данных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Проверить работу (при наличии)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Офисный стул, стол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отрегулировать высоту офисного стула, наклон экрана монитора;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Флипчарт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проверить надежность установки флипчарта</w:t>
            </w:r>
          </w:p>
        </w:tc>
      </w:tr>
    </w:tbl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4.1.4. В день проведения Чемпионата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4.1.5. Ежедневно, перед началом выполнения конкурсного задания, в процессе подготовки рабочего места: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-кабели электропитания, удлинители, сетевые фильтры должны находиться с тыльной стороны рабочего места;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-убедиться в отсутствии засветок, отражений и бликов на экране монитора;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-включить электропитание в последовательности, установленной инструкцией по эксплуатации на оборудование; 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-убедиться в правильном выполнении процедуры загрузки оборудования, правильных настройках.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4.1.6. Подготовить необходимые для работы материалы, приспособления, и разложить их на свои места, убрать с рабочего стола все лишнее.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4.2. Конкурсант не должны приступать к работе при следующих нарушениях требований безопасности: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4.2.1.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4.3.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  <w:bookmarkStart w:id="10" w:name="_heading=h.3dy6vkm"/>
      <w:bookmarkStart w:id="11" w:name="_heading=h.3dy6vkm"/>
      <w:bookmarkEnd w:id="11"/>
    </w:p>
    <w:p>
      <w:pPr>
        <w:pStyle w:val="Normal"/>
        <w:keepNext w:val="true"/>
        <w:keepLines/>
        <w:spacing w:lineRule="auto" w:line="360"/>
        <w:jc w:val="center"/>
        <w:rPr>
          <w:rFonts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выполнения работ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5.1.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70"/>
        <w:gridCol w:w="7250"/>
      </w:tblGrid>
      <w:tr>
        <w:trPr>
          <w:tblHeader w:val="true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Оргтехника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Запрещается: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 xml:space="preserve">— </w:t>
            </w: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держать воду и другие жидкости в какой-либо таре рядом с оргтехникой;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—</w:t>
            </w: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производить чистку оргтехники, находящейся под напряжением;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—</w:t>
            </w: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прикасаться мокрыми руками к оргтехнике, находящейся под напряжением;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 xml:space="preserve">— </w:t>
            </w: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самостоятельно разбирать и собирать оргтехнику, а также включать ее в разобранном виде;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 xml:space="preserve">— </w:t>
            </w: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отвлекаться на посторонние дела и разговоры.</w:t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Принтер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 xml:space="preserve">— </w:t>
            </w: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исключить возможность попадания инородных предметов (канцелярских скрепок, мелкие канцелярские принадлежности и т.д.) в приемный лоток принтера, факса;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 xml:space="preserve">— </w:t>
            </w: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не допускать попадания рук, волос, галстука и т.д. между выходными и загрузочными роликами;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 xml:space="preserve">— </w:t>
            </w: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не перемещать принтер и факс во время печати;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 xml:space="preserve">— </w:t>
            </w: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не открывать дверцы во время печати;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 xml:space="preserve">— </w:t>
            </w: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замену картриджей принтера необходимо проводить только когда принтер не готовится к печати и не проводит печать</w:t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 xml:space="preserve">— </w:t>
            </w: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всегда закрывать крышку копировального аппарата во время работы;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 xml:space="preserve">— </w:t>
            </w: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использовать бумагу хорошего качества, предназначенную для работы в копировальных аппаратах (при использовании бумаги плохого качества тракт копировального устройства забивается пылью, и увеличивается вероятность самовозгорания);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 xml:space="preserve">— </w:t>
            </w: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при удалении застрявшей бумаги необходимо отключать питание копировального аппарата</w:t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Компьютер в сборе (монитор, мышь, клавиатура) - ноутбук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Во время работы: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- необходимо аккуратно обращаться с проводами;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- запрещается работать с неисправным компьютером/ноутбуком;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- нельзя заниматься очисткой компьютера/ноутбука, когда он находится под напряжением;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- нельзя располагать рядом с компьютером/ноутбуком жидкости, а также работать с мокрыми руками;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- нельзя производить самостоятельно вскрытие и ремонт оборудования;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- запрещается переключать разъемы интерфейсных кабелей периферийных устройств;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highlight w:val="white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</w:tbl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5.2. При выполнении конкурсных заданий и уборке рабочих мест: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соблюдать настоящую инструкцию;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поддерживать порядок и чистоту на рабочем месте;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выполнять конкурсные задания только исправным инструментом.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5.3. При неисправности инструмента и оборудования – прекратить выполнение конкурсного задания и сообщить об этом главному эксперту.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  <w:bookmarkStart w:id="12" w:name="_heading=h.1t3h5sf"/>
      <w:bookmarkStart w:id="13" w:name="_heading=h.1t3h5sf"/>
      <w:bookmarkEnd w:id="13"/>
    </w:p>
    <w:p>
      <w:pPr>
        <w:pStyle w:val="Normal"/>
        <w:keepNext w:val="true"/>
        <w:keepLines/>
        <w:spacing w:lineRule="auto" w:line="360"/>
        <w:jc w:val="center"/>
        <w:rPr>
          <w:rFonts w:ascii="Cambria" w:hAnsi="Cambria" w:eastAsia="Cambria" w:cs="Cambria"/>
          <w:b/>
          <w:b/>
          <w:color w:val="000000"/>
          <w:sz w:val="28"/>
          <w:szCs w:val="28"/>
        </w:rPr>
      </w:pPr>
      <w:r>
        <w:rPr>
          <w:rFonts w:eastAsia="Cambria" w:cs="Cambria" w:ascii="Cambria" w:hAnsi="Cambria"/>
          <w:b/>
          <w:color w:val="000000"/>
          <w:sz w:val="28"/>
          <w:szCs w:val="28"/>
        </w:rPr>
        <w:t>6. Требования охраны труда в аварийных ситуациях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 При возникновении аварий и ситуаций, которые могут привести к авариям и несчастным случаям, необходимо: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6.1.1. Немедленно прекратить работы и известить главного эксперта.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6.1.2.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6.2. При обнаружении в процессе работы возгораний необходимо: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6.2.1.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6.2.2. 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6.2.3. 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6.2.4. 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6.3.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 В случае возникновения пожара: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6.5.1. Оповестить всех участников Чемпионата,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6.5.2. Принять меры к вызову на место пожара непосредственного руководителя или других должностных лиц.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6.6.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  <w:bookmarkStart w:id="14" w:name="_heading=h.4d34og8"/>
      <w:bookmarkStart w:id="15" w:name="_heading=h.4d34og8"/>
      <w:bookmarkEnd w:id="15"/>
    </w:p>
    <w:p>
      <w:pPr>
        <w:pStyle w:val="Normal"/>
        <w:keepNext w:val="true"/>
        <w:keepLines/>
        <w:spacing w:lineRule="auto" w:line="360"/>
        <w:jc w:val="center"/>
        <w:rPr>
          <w:rFonts w:eastAsia="Times New Roman" w:cs="Times New Roman"/>
          <w:b/>
          <w:b/>
          <w:color w:val="000000"/>
          <w:sz w:val="28"/>
          <w:szCs w:val="28"/>
        </w:rPr>
      </w:pPr>
      <w:r>
        <w:rPr>
          <w:rFonts w:eastAsia="Cambria" w:cs="Cambria" w:ascii="Cambria" w:hAnsi="Cambria"/>
          <w:b/>
          <w:color w:val="000000"/>
          <w:sz w:val="28"/>
          <w:szCs w:val="28"/>
        </w:rPr>
        <w:t>7. Требования охраны труда по окончании работы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7.1. После окончания работ каждый конкурсант обязан: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7.1.1. Привести в порядок рабочее место. 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7.1.2. Отключить инструмент и оборудование от сети.</w:t>
      </w:r>
    </w:p>
    <w:sectPr>
      <w:footerReference w:type="default" r:id="rId3"/>
      <w:footerReference w:type="first" r:id="rId4"/>
      <w:type w:val="nextPage"/>
      <w:pgSz w:w="11906" w:h="16838"/>
      <w:pgMar w:left="1418" w:right="567" w:gutter="0" w:header="0" w:top="851" w:footer="708" w:bottom="851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/>
      <w:jc w:val="right"/>
      <w:rPr>
        <w:rFonts w:ascii="Calibri" w:hAnsi="Calibri"/>
        <w:color w:val="000000"/>
        <w:sz w:val="22"/>
        <w:szCs w:val="22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</w:r>
  </w:p>
</w:ftr>
</file>

<file path=word/settings.xml><?xml version="1.0" encoding="utf-8"?>
<w:settings xmlns:w="http://schemas.openxmlformats.org/wordprocessingml/2006/main">
  <w:zoom w:val="bestFit"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jc w:val="left"/>
      <w:outlineLvl w:val="0"/>
    </w:pPr>
    <w:rPr>
      <w:rFonts w:ascii="Times New Roman" w:hAnsi="Times New Roman" w:eastAsia="Calibri" w:cs="Calibri"/>
      <w:color w:val="auto"/>
      <w:kern w:val="0"/>
      <w:sz w:val="24"/>
      <w:szCs w:val="24"/>
      <w:vertAlign w:val="subscript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keepLines/>
      <w:spacing w:lineRule="auto" w:line="276" w:before="480" w:after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1"/>
    <w:qFormat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link w:val="61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11" w:customStyle="1">
    <w:name w:val="Заголовок 1 Знак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1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uiPriority w:val="10"/>
    <w:qFormat/>
    <w:rPr>
      <w:sz w:val="48"/>
      <w:szCs w:val="48"/>
    </w:rPr>
  </w:style>
  <w:style w:type="character" w:styleId="Style6" w:customStyle="1">
    <w:name w:val="Подзаголовок Знак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12" w:customStyle="1">
    <w:name w:val="Верхний колонтитул Знак1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13" w:customStyle="1">
    <w:name w:val="Нижний колонтитул Знак1"/>
    <w:uiPriority w:val="99"/>
    <w:qFormat/>
    <w:rPr/>
  </w:style>
  <w:style w:type="character" w:styleId="Style8">
    <w:name w:val="Hyperlink"/>
    <w:uiPriority w:val="99"/>
    <w:qFormat/>
    <w:rPr>
      <w:color w:val="0000FF"/>
      <w:position w:val="0"/>
      <w:sz w:val="20"/>
      <w:sz w:val="20"/>
      <w:u w:val="single"/>
      <w:vertAlign w:val="baseline"/>
    </w:rPr>
  </w:style>
  <w:style w:type="character" w:styleId="14" w:customStyle="1">
    <w:name w:val="Текст сноски Знак1"/>
    <w:uiPriority w:val="99"/>
    <w:qFormat/>
    <w:rPr>
      <w:sz w:val="18"/>
    </w:rPr>
  </w:style>
  <w:style w:type="character" w:styleId="Style9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0" w:customStyle="1">
    <w:name w:val="Текст концевой сноски Знак"/>
    <w:uiPriority w:val="99"/>
    <w:qFormat/>
    <w:rPr>
      <w:sz w:val="20"/>
    </w:rPr>
  </w:style>
  <w:style w:type="character" w:styleId="Style11">
    <w:name w:val="Endnote Reference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Pr>
      <w:vertAlign w:val="superscript"/>
    </w:rPr>
  </w:style>
  <w:style w:type="character" w:styleId="Style12" w:customStyle="1">
    <w:name w:val="Текст выноски Знак"/>
    <w:qFormat/>
    <w:rPr>
      <w:rFonts w:ascii="Tahoma" w:hAnsi="Tahoma" w:cs="Tahoma"/>
      <w:position w:val="0"/>
      <w:sz w:val="16"/>
      <w:sz w:val="16"/>
      <w:szCs w:val="16"/>
      <w:vertAlign w:val="baseline"/>
      <w:lang w:eastAsia="ru-RU"/>
    </w:rPr>
  </w:style>
  <w:style w:type="character" w:styleId="Appleconvertedspace" w:customStyle="1">
    <w:name w:val="apple-converted-space"/>
    <w:basedOn w:val="DefaultParagraphFont"/>
    <w:qFormat/>
    <w:rPr>
      <w:position w:val="0"/>
      <w:sz w:val="20"/>
      <w:sz w:val="20"/>
      <w:vertAlign w:val="baseline"/>
    </w:rPr>
  </w:style>
  <w:style w:type="character" w:styleId="Style13" w:customStyle="1">
    <w:name w:val="Верхний колонтитул Знак"/>
    <w:qFormat/>
    <w:rPr>
      <w:rFonts w:ascii="Calibri" w:hAnsi="Calibri"/>
      <w:position w:val="0"/>
      <w:sz w:val="22"/>
      <w:sz w:val="22"/>
      <w:szCs w:val="22"/>
      <w:vertAlign w:val="baseline"/>
      <w:lang w:val="ru-RU" w:eastAsia="ru-RU" w:bidi="ar-SA"/>
    </w:rPr>
  </w:style>
  <w:style w:type="character" w:styleId="Style14" w:customStyle="1">
    <w:name w:val="Нижний колонтитул Знак"/>
    <w:qFormat/>
    <w:rPr>
      <w:rFonts w:ascii="Calibri" w:hAnsi="Calibri"/>
      <w:position w:val="0"/>
      <w:sz w:val="22"/>
      <w:sz w:val="22"/>
      <w:szCs w:val="22"/>
      <w:vertAlign w:val="baseline"/>
      <w:lang w:val="ru-RU" w:eastAsia="ru-RU" w:bidi="ar-SA"/>
    </w:rPr>
  </w:style>
  <w:style w:type="character" w:styleId="15" w:customStyle="1">
    <w:name w:val="Заголовок 1 Знак"/>
    <w:qFormat/>
    <w:rPr>
      <w:rFonts w:ascii="Cambria" w:hAnsi="Cambria"/>
      <w:b/>
      <w:bCs/>
      <w:color w:val="365F91"/>
      <w:position w:val="0"/>
      <w:sz w:val="28"/>
      <w:sz w:val="28"/>
      <w:szCs w:val="28"/>
      <w:vertAlign w:val="baseline"/>
      <w:lang w:val="ru-RU" w:eastAsia="ru-RU" w:bidi="ar-SA"/>
    </w:rPr>
  </w:style>
  <w:style w:type="character" w:styleId="23" w:customStyle="1">
    <w:name w:val="Заголовок 2 Знак"/>
    <w:qFormat/>
    <w:rPr>
      <w:rFonts w:ascii="Cambria" w:hAnsi="Cambria" w:eastAsia="Times New Roman" w:cs="Times New Roman"/>
      <w:b/>
      <w:bCs/>
      <w:i/>
      <w:iCs/>
      <w:position w:val="0"/>
      <w:sz w:val="28"/>
      <w:sz w:val="28"/>
      <w:szCs w:val="28"/>
      <w:vertAlign w:val="baseline"/>
    </w:rPr>
  </w:style>
  <w:style w:type="character" w:styleId="Style15" w:customStyle="1">
    <w:name w:val="Текст сноски Знак"/>
    <w:qFormat/>
    <w:rPr>
      <w:rFonts w:ascii="Times New Roman" w:hAnsi="Times New Roman"/>
      <w:position w:val="0"/>
      <w:sz w:val="20"/>
      <w:sz w:val="20"/>
      <w:vertAlign w:val="baseli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7162a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nnotationtext"/>
    <w:uiPriority w:val="99"/>
    <w:semiHidden/>
    <w:qFormat/>
    <w:rsid w:val="00a7162a"/>
    <w:rPr>
      <w:rFonts w:ascii="Times New Roman" w:hAnsi="Times New Roman"/>
      <w:vertAlign w:val="subscript"/>
      <w:lang w:eastAsia="ru-RU"/>
    </w:rPr>
  </w:style>
  <w:style w:type="character" w:styleId="Style17" w:customStyle="1">
    <w:name w:val="Тема примечания Знак"/>
    <w:basedOn w:val="Style16"/>
    <w:link w:val="Annotationsubject"/>
    <w:uiPriority w:val="99"/>
    <w:semiHidden/>
    <w:qFormat/>
    <w:rsid w:val="00a7162a"/>
    <w:rPr>
      <w:rFonts w:ascii="Times New Roman" w:hAnsi="Times New Roman"/>
      <w:b/>
      <w:bCs/>
      <w:vertAlign w:val="subscript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13477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2a4ba7"/>
    <w:rPr>
      <w:b/>
      <w:bCs/>
    </w:rPr>
  </w:style>
  <w:style w:type="character" w:styleId="Style18" w:customStyle="1">
    <w:name w:val="Ссылка указателя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Title"/>
    <w:basedOn w:val="Normal"/>
    <w:next w:val="Style20"/>
    <w:link w:val="Style5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Indexheading">
    <w:name w:val="index heading"/>
    <w:basedOn w:val="Style24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lineRule="atLeast" w:line="1" w:before="0" w:after="0"/>
      <w:jc w:val="left"/>
      <w:outlineLvl w:val="0"/>
    </w:pPr>
    <w:rPr>
      <w:rFonts w:ascii="Times New Roman" w:hAnsi="Times New Roman" w:eastAsia="Calibri" w:cs="Calibri"/>
      <w:color w:val="auto"/>
      <w:kern w:val="0"/>
      <w:sz w:val="24"/>
      <w:szCs w:val="24"/>
      <w:vertAlign w:val="subscript"/>
      <w:lang w:val="ru-RU" w:eastAsia="ru-RU" w:bidi="ar-SA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5" w:customStyle="1">
    <w:name w:val="Колонтитул"/>
    <w:basedOn w:val="Normal"/>
    <w:qFormat/>
    <w:pPr/>
    <w:rPr/>
  </w:style>
  <w:style w:type="paragraph" w:styleId="Style26">
    <w:name w:val="Header"/>
    <w:basedOn w:val="Normal"/>
    <w:link w:val="12"/>
    <w:qFormat/>
    <w:pPr>
      <w:tabs>
        <w:tab w:val="clear" w:pos="720"/>
        <w:tab w:val="center" w:pos="4677" w:leader="none"/>
        <w:tab w:val="right" w:pos="9355" w:leader="none"/>
      </w:tabs>
    </w:pPr>
    <w:rPr>
      <w:rFonts w:ascii="Calibri" w:hAnsi="Calibri"/>
      <w:sz w:val="22"/>
      <w:szCs w:val="22"/>
    </w:rPr>
  </w:style>
  <w:style w:type="paragraph" w:styleId="Style27">
    <w:name w:val="Footer"/>
    <w:basedOn w:val="Normal"/>
    <w:link w:val="13"/>
    <w:qFormat/>
    <w:pPr>
      <w:tabs>
        <w:tab w:val="clear" w:pos="720"/>
        <w:tab w:val="center" w:pos="4677" w:leader="none"/>
        <w:tab w:val="right" w:pos="9355" w:leader="none"/>
      </w:tabs>
    </w:pPr>
    <w:rPr>
      <w:rFonts w:ascii="Calibri" w:hAnsi="Calibri"/>
      <w:sz w:val="22"/>
      <w:szCs w:val="22"/>
    </w:rPr>
  </w:style>
  <w:style w:type="paragraph" w:styleId="Style28">
    <w:name w:val="Footnote Text"/>
    <w:basedOn w:val="Normal"/>
    <w:link w:val="14"/>
    <w:qFormat/>
    <w:pPr/>
    <w:rPr>
      <w:sz w:val="20"/>
      <w:szCs w:val="20"/>
    </w:rPr>
  </w:style>
  <w:style w:type="paragraph" w:styleId="Style29">
    <w:name w:val="Endnote Text"/>
    <w:basedOn w:val="Normal"/>
    <w:link w:val="Style10"/>
    <w:uiPriority w:val="99"/>
    <w:semiHidden/>
    <w:unhideWhenUsed/>
    <w:pPr>
      <w:spacing w:lineRule="auto" w:line="240"/>
    </w:pPr>
    <w:rPr>
      <w:sz w:val="20"/>
    </w:rPr>
  </w:style>
  <w:style w:type="paragraph" w:styleId="16">
    <w:name w:val="TOC 1"/>
    <w:basedOn w:val="Normal"/>
    <w:next w:val="Normal"/>
    <w:uiPriority w:val="39"/>
    <w:qFormat/>
    <w:pPr/>
    <w:rPr/>
  </w:style>
  <w:style w:type="paragraph" w:styleId="24">
    <w:name w:val="TOC 2"/>
    <w:basedOn w:val="Normal"/>
    <w:next w:val="Normal"/>
    <w:uiPriority w:val="39"/>
    <w:qFormat/>
    <w:pPr>
      <w:ind w:left="240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30">
    <w:name w:val="Index Heading"/>
    <w:basedOn w:val="Style19"/>
    <w:pPr/>
    <w:rPr/>
  </w:style>
  <w:style w:type="paragraph" w:styleId="Style31">
    <w:name w:val="TOC Heading"/>
    <w:basedOn w:val="1"/>
    <w:next w:val="Normal"/>
    <w:qFormat/>
    <w:pPr>
      <w:outlineLvl w:val="9"/>
    </w:pPr>
    <w:rPr>
      <w:rFonts w:eastAsia="Times New Roman" w:cs="Times New Roman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Otekstj" w:customStyle="1">
    <w:name w:val="otekstj"/>
    <w:basedOn w:val="Normal"/>
    <w:qFormat/>
    <w:pPr>
      <w:spacing w:beforeAutospacing="1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eastAsia="Times New Roman"/>
    </w:rPr>
  </w:style>
  <w:style w:type="paragraph" w:styleId="Style32">
    <w:name w:val="Subtitle"/>
    <w:basedOn w:val="Normal"/>
    <w:next w:val="Normal"/>
    <w:link w:val="Style6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Style16"/>
    <w:uiPriority w:val="99"/>
    <w:semiHidden/>
    <w:unhideWhenUsed/>
    <w:qFormat/>
    <w:rsid w:val="00a7162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7"/>
    <w:uiPriority w:val="99"/>
    <w:semiHidden/>
    <w:unhideWhenUsed/>
    <w:qFormat/>
    <w:rsid w:val="00a7162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Table Grid"/>
    <w:basedOn w:val="a1"/>
    <w:qFormat/>
    <w:pPr>
      <w:spacing w:line="1" w:lineRule="atLeast"/>
    </w:pPr>
    <w:rPr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6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5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qFormat/>
    <w:pPr>
      <w:spacing w:line="1" w:lineRule="atLeast"/>
    </w:pPr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LibreOffice/7.4.0.3$Windows_X86_64 LibreOffice_project/f85e47c08ddd19c015c0114a68350214f7066f5a</Application>
  <AppVersion>15.0000</AppVersion>
  <Pages>9</Pages>
  <Words>2017</Words>
  <Characters>14114</Characters>
  <CharactersWithSpaces>15988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2023-10-10T08:16:00Z</dcterms:created>
  <dc:creator>Наталья Петровна Овчинникова</dc:creator>
  <dc:description/>
  <dc:language>ru-RU</dc:language>
  <cp:lastModifiedBy/>
  <dcterms:modified xsi:type="dcterms:W3CDTF">2023-11-21T15:27:22Z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