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CD" w:rsidRDefault="00D733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b"/>
        <w:tblW w:w="1035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4680"/>
      </w:tblGrid>
      <w:tr w:rsidR="00D733CD">
        <w:tc>
          <w:tcPr>
            <w:tcW w:w="5670" w:type="dxa"/>
          </w:tcPr>
          <w:p w:rsidR="00D733CD" w:rsidRDefault="009D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50870" cy="1330586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733CD" w:rsidRDefault="00D733CD">
            <w:pPr>
              <w:spacing w:line="360" w:lineRule="auto"/>
              <w:ind w:left="290"/>
              <w:jc w:val="center"/>
              <w:rPr>
                <w:sz w:val="30"/>
                <w:szCs w:val="30"/>
              </w:rPr>
            </w:pPr>
          </w:p>
        </w:tc>
      </w:tr>
    </w:tbl>
    <w:p w:rsidR="00D733CD" w:rsidRDefault="00D733C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D733CD" w:rsidRDefault="00D733CD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D733CD" w:rsidRDefault="009D7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D733CD" w:rsidRDefault="009D7E5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«Обслуживание и ремонт вагонов»</w:t>
      </w:r>
    </w:p>
    <w:p w:rsidR="00D733CD" w:rsidRDefault="009D7E5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(Регионального этапа)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Чемпионата по профессиональному мастерству «Профессионалы» в 2024 г.</w:t>
      </w:r>
    </w:p>
    <w:p w:rsidR="00D733CD" w:rsidRDefault="00D733CD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D733C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D733CD" w:rsidRDefault="009D7E5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2024 г.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D733CD" w:rsidRDefault="00D733CD"/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anchor="heading=h.gjdgxs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1. ОСНОВНЫЕ ТРЕБОВАНИЯ КОМПЕТЕНЦИИ</w:t>
        </w:r>
      </w:hyperlink>
      <w:hyperlink r:id="rId11" w:anchor="heading=h.gjdgxs"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</w:hyperlink>
      <w:hyperlink r:id="rId12" w:anchor="heading=h.gjdgxs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2</w:t>
        </w:r>
      </w:hyperlink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anchor="heading=h.30j0zll">
        <w:r>
          <w:rPr>
            <w:rFonts w:ascii="Times New Roman" w:eastAsia="Times New Roman" w:hAnsi="Times New Roman" w:cs="Times New Roman"/>
            <w:color w:val="000000"/>
            <w:u w:val="single"/>
          </w:rPr>
          <w:t>1.1. ОБЩИЕ СВЕДЕНИЯ О ТРЕБОВАНИЯХ КОМПЕТЕНЦИИ</w:t>
        </w:r>
      </w:hyperlink>
      <w:hyperlink r:id="rId14" w:anchor="heading=h.30j0zll">
        <w:r>
          <w:rPr>
            <w:rFonts w:ascii="Times New Roman" w:eastAsia="Times New Roman" w:hAnsi="Times New Roman" w:cs="Times New Roman"/>
            <w:color w:val="000000"/>
          </w:rPr>
          <w:tab/>
        </w:r>
      </w:hyperlink>
      <w:hyperlink r:id="rId15" w:anchor="heading=h.30j0zll">
        <w:r>
          <w:rPr>
            <w:rFonts w:ascii="Times New Roman" w:eastAsia="Times New Roman" w:hAnsi="Times New Roman" w:cs="Times New Roman"/>
            <w:color w:val="000000"/>
            <w:u w:val="single"/>
          </w:rPr>
          <w:t>2</w:t>
        </w:r>
      </w:hyperlink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anchor="heading=h.3znysh7">
        <w:r>
          <w:rPr>
            <w:rFonts w:ascii="Times New Roman" w:eastAsia="Times New Roman" w:hAnsi="Times New Roman" w:cs="Times New Roman"/>
            <w:color w:val="000000"/>
            <w:u w:val="single"/>
          </w:rPr>
          <w:t>1.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>2. ПЕРЕЧЕНЬ ПРОФЕССИОНАЛЬНЫХ ЗАДАЧ СПЕЦИАЛИСТА ПО КОМПЕТЕНЦИИ «ОБСЛУЖИВАНИЕ И РЕМОНТ ВАГОНОВ»</w:t>
        </w:r>
      </w:hyperlink>
      <w:hyperlink r:id="rId17" w:anchor="heading=h.3znysh7">
        <w:r>
          <w:rPr>
            <w:rFonts w:ascii="Times New Roman" w:eastAsia="Times New Roman" w:hAnsi="Times New Roman" w:cs="Times New Roman"/>
            <w:color w:val="000000"/>
          </w:rPr>
          <w:tab/>
        </w:r>
      </w:hyperlink>
      <w:hyperlink r:id="rId18" w:anchor="heading=h.3znysh7">
        <w:r>
          <w:rPr>
            <w:rFonts w:ascii="Times New Roman" w:eastAsia="Times New Roman" w:hAnsi="Times New Roman" w:cs="Times New Roman"/>
            <w:color w:val="000000"/>
            <w:u w:val="single"/>
          </w:rPr>
          <w:t>2</w:t>
        </w:r>
      </w:hyperlink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anchor="heading=h.2et92p0">
        <w:r>
          <w:rPr>
            <w:rFonts w:ascii="Times New Roman" w:eastAsia="Times New Roman" w:hAnsi="Times New Roman" w:cs="Times New Roman"/>
            <w:color w:val="000000"/>
            <w:u w:val="single"/>
          </w:rPr>
          <w:t>1.3. ТРЕБОВАНИЯ К СХЕМЕ ОЦЕНКИ</w:t>
        </w:r>
      </w:hyperlink>
      <w:hyperlink r:id="rId20" w:anchor="heading=h.2et92p0">
        <w:r>
          <w:rPr>
            <w:rFonts w:ascii="Times New Roman" w:eastAsia="Times New Roman" w:hAnsi="Times New Roman" w:cs="Times New Roman"/>
            <w:color w:val="000000"/>
          </w:rPr>
          <w:tab/>
        </w:r>
      </w:hyperlink>
      <w:hyperlink r:id="rId21" w:anchor="heading=h.2et92p0">
        <w:r>
          <w:rPr>
            <w:rFonts w:ascii="Times New Roman" w:eastAsia="Times New Roman" w:hAnsi="Times New Roman" w:cs="Times New Roman"/>
            <w:color w:val="000000"/>
            <w:u w:val="single"/>
          </w:rPr>
          <w:t>4</w:t>
        </w:r>
      </w:hyperlink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anchor="heading=h.tyjcwt">
        <w:r>
          <w:rPr>
            <w:rFonts w:ascii="Times New Roman" w:eastAsia="Times New Roman" w:hAnsi="Times New Roman" w:cs="Times New Roman"/>
            <w:color w:val="000000"/>
            <w:u w:val="single"/>
          </w:rPr>
          <w:t>1.4. СПЕЦИФИКАЦИЯ ОЦЕНКИ КОМПЕТЕНЦИИ</w:t>
        </w:r>
      </w:hyperlink>
      <w:hyperlink r:id="rId23" w:anchor="heading=h.tyjcwt">
        <w:r>
          <w:rPr>
            <w:rFonts w:ascii="Times New Roman" w:eastAsia="Times New Roman" w:hAnsi="Times New Roman" w:cs="Times New Roman"/>
            <w:color w:val="000000"/>
          </w:rPr>
          <w:tab/>
        </w:r>
      </w:hyperlink>
      <w:hyperlink r:id="rId24" w:anchor="heading=h.tyjcwt">
        <w:r>
          <w:rPr>
            <w:rFonts w:ascii="Times New Roman" w:eastAsia="Times New Roman" w:hAnsi="Times New Roman" w:cs="Times New Roman"/>
            <w:color w:val="000000"/>
            <w:u w:val="single"/>
          </w:rPr>
          <w:t>4</w:t>
        </w:r>
      </w:hyperlink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anchor="heading=h.3dy6vkm">
        <w:r>
          <w:rPr>
            <w:rFonts w:ascii="Times New Roman" w:eastAsia="Times New Roman" w:hAnsi="Times New Roman" w:cs="Times New Roman"/>
            <w:color w:val="000000"/>
            <w:u w:val="single"/>
          </w:rPr>
          <w:t>1.5.2. Структура модулей конкурсного задания (инвариант/</w:t>
        </w:r>
        <w:proofErr w:type="spellStart"/>
        <w:r>
          <w:rPr>
            <w:rFonts w:ascii="Times New Roman" w:eastAsia="Times New Roman" w:hAnsi="Times New Roman" w:cs="Times New Roman"/>
            <w:color w:val="000000"/>
            <w:u w:val="single"/>
          </w:rPr>
          <w:t>вариатив</w:t>
        </w:r>
        <w:proofErr w:type="spellEnd"/>
        <w:r>
          <w:rPr>
            <w:rFonts w:ascii="Times New Roman" w:eastAsia="Times New Roman" w:hAnsi="Times New Roman" w:cs="Times New Roman"/>
            <w:color w:val="000000"/>
            <w:u w:val="single"/>
          </w:rPr>
          <w:t>)</w:t>
        </w:r>
      </w:hyperlink>
      <w:hyperlink r:id="rId26" w:anchor="heading=h.3dy6vkm">
        <w:r>
          <w:rPr>
            <w:rFonts w:ascii="Times New Roman" w:eastAsia="Times New Roman" w:hAnsi="Times New Roman" w:cs="Times New Roman"/>
            <w:color w:val="000000"/>
          </w:rPr>
          <w:tab/>
        </w:r>
      </w:hyperlink>
      <w:hyperlink r:id="rId27" w:anchor="heading=h.3dy6vkm">
        <w:r>
          <w:rPr>
            <w:rFonts w:ascii="Times New Roman" w:eastAsia="Times New Roman" w:hAnsi="Times New Roman" w:cs="Times New Roman"/>
            <w:color w:val="000000"/>
            <w:u w:val="single"/>
          </w:rPr>
          <w:t>7</w:t>
        </w:r>
      </w:hyperlink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anchor="heading=h.2s8eyo1">
        <w:r>
          <w:rPr>
            <w:rFonts w:ascii="Times New Roman" w:eastAsia="Times New Roman" w:hAnsi="Times New Roman" w:cs="Times New Roman"/>
            <w:color w:val="000000"/>
            <w:u w:val="single"/>
          </w:rPr>
          <w:t>2. СПЕЦИАЛЬНЫЕ ПРАВИЛА КОМПЕТЕНЦИИ</w:t>
        </w:r>
      </w:hyperlink>
      <w:hyperlink r:id="rId29" w:anchor="heading=h.2s8eyo1">
        <w:r>
          <w:rPr>
            <w:rFonts w:ascii="Times New Roman" w:eastAsia="Times New Roman" w:hAnsi="Times New Roman" w:cs="Times New Roman"/>
            <w:color w:val="000000"/>
          </w:rPr>
          <w:tab/>
        </w:r>
      </w:hyperlink>
      <w:hyperlink r:id="rId30" w:anchor="heading=h.2s8eyo1">
        <w:r>
          <w:rPr>
            <w:rFonts w:ascii="Times New Roman" w:eastAsia="Times New Roman" w:hAnsi="Times New Roman" w:cs="Times New Roman"/>
            <w:color w:val="000000"/>
            <w:u w:val="single"/>
          </w:rPr>
          <w:t>8</w:t>
        </w:r>
      </w:hyperlink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anchor="heading=h.17dp8vu">
        <w:r>
          <w:rPr>
            <w:rFonts w:ascii="Times New Roman" w:eastAsia="Times New Roman" w:hAnsi="Times New Roman" w:cs="Times New Roman"/>
            <w:color w:val="000000"/>
            <w:u w:val="single"/>
          </w:rPr>
          <w:t>2.1. Личный и</w:t>
        </w:r>
        <w:r>
          <w:rPr>
            <w:rFonts w:ascii="Times New Roman" w:eastAsia="Times New Roman" w:hAnsi="Times New Roman" w:cs="Times New Roman"/>
            <w:color w:val="000000"/>
            <w:u w:val="single"/>
          </w:rPr>
          <w:t>нструмент конкурсанта</w:t>
        </w:r>
      </w:hyperlink>
      <w:hyperlink r:id="rId32" w:anchor="heading=h.17dp8vu">
        <w:r>
          <w:rPr>
            <w:rFonts w:ascii="Times New Roman" w:eastAsia="Times New Roman" w:hAnsi="Times New Roman" w:cs="Times New Roman"/>
            <w:color w:val="000000"/>
          </w:rPr>
          <w:tab/>
        </w:r>
      </w:hyperlink>
      <w:hyperlink r:id="rId33" w:anchor="heading=h.17dp8vu">
        <w:r>
          <w:rPr>
            <w:rFonts w:ascii="Times New Roman" w:eastAsia="Times New Roman" w:hAnsi="Times New Roman" w:cs="Times New Roman"/>
            <w:color w:val="000000"/>
            <w:u w:val="single"/>
          </w:rPr>
          <w:t>8</w:t>
        </w:r>
      </w:hyperlink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anchor="heading=h.26in1rg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3. Приложения</w:t>
        </w:r>
      </w:hyperlink>
      <w:hyperlink r:id="rId35" w:anchor="heading=h.26in1rg">
        <w:r>
          <w:rPr>
            <w:rFonts w:ascii="Arial" w:eastAsia="Arial" w:hAnsi="Arial" w:cs="Arial"/>
            <w:color w:val="000000"/>
            <w:sz w:val="24"/>
            <w:szCs w:val="24"/>
          </w:rPr>
          <w:tab/>
        </w:r>
      </w:hyperlink>
      <w:hyperlink r:id="rId36" w:anchor="heading=h.26in1rg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8</w:t>
        </w:r>
      </w:hyperlink>
    </w:p>
    <w:p w:rsidR="00D733CD" w:rsidRDefault="00D733CD"/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СОКРАЩЕНИЯ</w:t>
      </w:r>
    </w:p>
    <w:p w:rsidR="00D733CD" w:rsidRDefault="00D733CD"/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</w:t>
      </w:r>
    </w:p>
    <w:p w:rsidR="00D733CD" w:rsidRDefault="00D733C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CD" w:rsidRDefault="00D733C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ОСНОВНЫЕ ТРЕБОВАНИЯ КОМПЕТЕНЦИИ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ОБЩИЕ СВЕДЕНИЯ О ТРЕБОВАНИЯХ КОМПЕТЕНЦИИ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компетенции (ТК) «ОБСЛУЖИВАНИЕ И РЕМОНТ ВАГОНОВ» определяют знания, умения, навыки и трудовые функции, которые лежат в основе наиболее актуальных требований работодателей отрасли. 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соревнований по компетенции является демонстрация лучших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 и высокого уровня выполнения работы по соответствующей рабочей специальности или профессии. 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фессионального мастерства.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знаний, умений, навыков и трудовых функций осуществляется посредством оценки выполнения практической работы. 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компетенции разделены на четкие разделы с номерами и заголовками,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 разделу назначен процент относительной важности, сумма которых составляет 100.</w:t>
      </w:r>
    </w:p>
    <w:p w:rsidR="00D733CD" w:rsidRDefault="009D7E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D733CD" w:rsidRPr="009D7E5D" w:rsidRDefault="009D7E5D">
      <w:pPr>
        <w:pStyle w:val="2"/>
        <w:spacing w:before="0" w:after="0"/>
        <w:ind w:firstLine="709"/>
        <w:jc w:val="both"/>
        <w:rPr>
          <w:lang w:val="ru-RU"/>
        </w:rPr>
      </w:pPr>
      <w:r w:rsidRPr="009D7E5D">
        <w:rPr>
          <w:color w:val="000000"/>
          <w:sz w:val="24"/>
          <w:lang w:val="ru-RU"/>
        </w:rPr>
        <w:lastRenderedPageBreak/>
        <w:t>1.2. ПЕРЕЧЕНЬ ПРОФЕССИОНАЛЬНЫХ ЗАДАЧ СПЕЦИАЛИСТА ПО КОМПЕТЕНЦИИ «</w:t>
      </w:r>
      <w:r w:rsidRPr="009D7E5D">
        <w:rPr>
          <w:color w:val="000000"/>
          <w:sz w:val="24"/>
          <w:u w:val="single"/>
          <w:lang w:val="ru-RU"/>
        </w:rPr>
        <w:t>ОБСЛУЖИВАНИЕ И РЕМОНТ ВАГОНОВ</w:t>
      </w:r>
      <w:r w:rsidRPr="009D7E5D">
        <w:rPr>
          <w:color w:val="000000"/>
          <w:sz w:val="24"/>
          <w:lang w:val="ru-RU"/>
        </w:rPr>
        <w:t>»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1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:rsidR="00D733CD" w:rsidRDefault="00D733CD"/>
    <w:tbl>
      <w:tblPr>
        <w:tblStyle w:val="affc"/>
        <w:tblW w:w="986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685"/>
        <w:gridCol w:w="7626"/>
        <w:gridCol w:w="1558"/>
      </w:tblGrid>
      <w:tr w:rsidR="00D733C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D733C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Техническое обслуживание грузовых и пассажирских вагонов и контейнеров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27,10</w:t>
            </w:r>
          </w:p>
        </w:tc>
      </w:tr>
      <w:tr w:rsidR="00D733CD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 </w:t>
            </w:r>
          </w:p>
          <w:p w:rsidR="00D733CD" w:rsidRDefault="009D7E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Инструкцию по техническому обслуживанию вагонов в эксплуатации;</w:t>
            </w:r>
          </w:p>
          <w:p w:rsidR="00D733CD" w:rsidRDefault="009D7E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Технологический процесс работы пунктов технического обслуживания;</w:t>
            </w:r>
          </w:p>
          <w:p w:rsidR="00D733CD" w:rsidRDefault="009D7E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Требования, предъявляемые к качеству выполняемых работ;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отправления порожних контейнеров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</w:tr>
      <w:tr w:rsidR="00D733CD">
        <w:trPr>
          <w:trHeight w:val="10463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 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Визуально определять дефекты;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технический осмотр контейнеров;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Выявлять неисправности, угрожающие безопасности движения поездов, сохранности подвижного состава и перевозимого груза;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дефекты в корпусе и деталях контейнеров;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герметичности контейнеров, обе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спечивающей сохранность груза;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Ограждение поезда (состава) щитами при техническом осмотре контейнеров при отсутствии автоматизированного централизованного ограждения;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отцепку вагонов от состава;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Выполнять технические требования по обеспечению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сохранности вагонов при техническом обслуживании;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Визуально определять дефекты кузовов, узлов рамы, ходовых частей,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автосцепных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редукторно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-карданных приводов,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холодильных установок, электро- и радиооборудования, приборов отопления вагонов, внутреннего оборудования пассажирских вагонов, полов, крыш крытых и изотермических вагонов;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техническое обслуживание вагонов,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груженых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опасным грузом;</w:t>
            </w:r>
          </w:p>
          <w:p w:rsidR="00D733CD" w:rsidRDefault="009D7E5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и средства технических измерений, стандарты, технические регламенты и другие нормативные документы при технической диагностике подвижного состава;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Обнаруживать неисправности подвижного состава  в эксплуатации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3C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Текущий ремонт грузовых и пассажирских вагонов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21,70</w:t>
            </w:r>
          </w:p>
        </w:tc>
      </w:tr>
      <w:tr w:rsidR="00D733CD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 </w:t>
            </w:r>
          </w:p>
          <w:p w:rsidR="00D733CD" w:rsidRDefault="009D7E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Нормативные документы ОАО "РЖД" по ремонту и техническому обслуживанию подвижного состава;</w:t>
            </w:r>
          </w:p>
          <w:p w:rsidR="00D733CD" w:rsidRDefault="009D7E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предупреждения и устранения неисправностей;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обеспечения безопасности движения поездов при отказе какого-либо оборудования подвижного состава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</w:tr>
      <w:tr w:rsidR="00D733CD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 </w:t>
            </w:r>
          </w:p>
          <w:p w:rsidR="00D733CD" w:rsidRDefault="009D7E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все виды ремонта кузовов, узлов рамы, ходовых частей,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автосцепных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редукторно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-карданных приводов,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холодильных установок, электро- и радиооборудова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 приборов отопления вагонов, внутреннего оборудования пассажирских вагонов, полов, крыш крытых и изотермических вагонов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грузовых вагонов всех типов с использованием универсальных установок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3C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Устройство вагонов и контейнеров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12,00</w:t>
            </w:r>
          </w:p>
        </w:tc>
      </w:tr>
      <w:tr w:rsidR="00D733CD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 </w:t>
            </w:r>
          </w:p>
          <w:p w:rsidR="00D733CD" w:rsidRDefault="009D7E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вагонов и контейнеров;</w:t>
            </w:r>
          </w:p>
          <w:p w:rsidR="00D733CD" w:rsidRDefault="009D7E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Классификацию вагонов и контейнеров;</w:t>
            </w:r>
          </w:p>
          <w:p w:rsidR="00D733CD" w:rsidRDefault="009D7E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грузовых вагонов;</w:t>
            </w:r>
          </w:p>
          <w:p w:rsidR="00D733CD" w:rsidRDefault="009D7E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пассажирских вагонов;</w:t>
            </w:r>
          </w:p>
          <w:p w:rsidR="00D733CD" w:rsidRDefault="009D7E5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контейнеров;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и взаимодействие узлов и деталей подвижного состава;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</w:tr>
      <w:tr w:rsidR="00D733CD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 </w:t>
            </w:r>
          </w:p>
          <w:p w:rsidR="00D733CD" w:rsidRDefault="009D7E5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типы вагонов и контейнеров;</w:t>
            </w:r>
          </w:p>
          <w:p w:rsidR="00D733CD" w:rsidRDefault="009D7E5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Классифицировать вагоны и контейнеры;</w:t>
            </w:r>
          </w:p>
          <w:p w:rsidR="00D733CD" w:rsidRDefault="009D7E5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конструктивные особенности грузовых вагонов и контейнеров;</w:t>
            </w:r>
          </w:p>
          <w:p w:rsidR="00D733CD" w:rsidRDefault="009D7E5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конструктивные особенности пассажирских вагонов</w:t>
            </w:r>
          </w:p>
          <w:p w:rsidR="00D733CD" w:rsidRDefault="009D7E5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основные виды работ по техническому обслуживанию и ремонту вагонов и контейнеров</w:t>
            </w:r>
          </w:p>
          <w:p w:rsidR="00D733CD" w:rsidRDefault="009D7E5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типы подвижного состава и их узлы; 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требования к конструкции;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3C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Применение нормативных документов при выполнении технического осмотра и ремонта вагонов и контейнеров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D733CD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 </w:t>
            </w:r>
          </w:p>
          <w:p w:rsidR="00D733CD" w:rsidRDefault="009D7E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технической эксплуатации железных дорог Российской Федерации (ПТЭ) с приложениями;</w:t>
            </w:r>
          </w:p>
          <w:p w:rsidR="00D733CD" w:rsidRDefault="009D7E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Инструкция по техническому обслуживанию вагонов, находящихся в эксплуатации </w:t>
            </w:r>
          </w:p>
          <w:p w:rsidR="00D733CD" w:rsidRDefault="009D7E5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Инструкции и указания по вопросам сохранности вагонного парка 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перевозки опасных грузов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</w:tr>
      <w:tr w:rsidR="00D733CD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 </w:t>
            </w:r>
          </w:p>
          <w:p w:rsidR="00D733CD" w:rsidRDefault="009D7E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нормативные документы при выполнении технического обслуживания и ремонта вагонов и контейнеров</w:t>
            </w:r>
          </w:p>
          <w:p w:rsidR="00D733CD" w:rsidRDefault="009D7E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нормативные документы при оформлении технической документации на поврежденные вагоны и контейнеры </w:t>
            </w:r>
          </w:p>
          <w:p w:rsidR="00D733CD" w:rsidRDefault="009D7E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Навешивать и снимать сигнальные диски, обо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значающие хвост поезда </w:t>
            </w:r>
          </w:p>
          <w:p w:rsidR="00D733CD" w:rsidRDefault="009D7E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подачу ручных сигналов при производстве маневровых работ и опробовании тормозов;</w:t>
            </w:r>
          </w:p>
          <w:p w:rsidR="00D733CD" w:rsidRDefault="009D7E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ограждение подвижного состава и опасных мест, угрожающих безопасности движения;</w:t>
            </w:r>
          </w:p>
          <w:p w:rsidR="00D733CD" w:rsidRDefault="009D7E5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Определять состояние деталей, узлов, агрегатов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систем подвижного состава согласно требованиям ПТЭ;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сигнализацию светофоров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3C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Пользование измерительными инструментами и шаблонами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5,55</w:t>
            </w:r>
          </w:p>
        </w:tc>
      </w:tr>
      <w:tr w:rsidR="00D733CD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 </w:t>
            </w:r>
          </w:p>
          <w:p w:rsidR="00D733CD" w:rsidRDefault="009D7E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применяемых шаблонов, измерительного инструмента и правила пользования ими;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контроля наличия, состояния и применения  контрольно-измерительных средств и шаблонов, испытательных стендов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</w:tr>
      <w:tr w:rsidR="00D733CD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Специалист должен уметь: </w:t>
            </w:r>
          </w:p>
          <w:p w:rsidR="00D733CD" w:rsidRDefault="009D7E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Пользоваться измерительными инструментами, шаблонами;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годность контрольно-измерительных средств и шаблонов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3CD">
        <w:trPr>
          <w:trHeight w:val="2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Охрана труда и применение системы 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10,50</w:t>
            </w:r>
          </w:p>
        </w:tc>
      </w:tr>
      <w:tr w:rsidR="00D733CD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 </w:t>
            </w:r>
          </w:p>
          <w:p w:rsidR="00D733CD" w:rsidRDefault="009D7E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 инструкции по охране труда;</w:t>
            </w:r>
          </w:p>
          <w:p w:rsidR="00D733CD" w:rsidRDefault="009D7E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пожарной безопасности;</w:t>
            </w:r>
          </w:p>
          <w:p w:rsidR="00D733CD" w:rsidRDefault="009D7E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пользования средствами индивидуальной защиты;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оказания первой медицинской помощи</w:t>
            </w:r>
          </w:p>
          <w:p w:rsidR="00D733CD" w:rsidRDefault="009D7E5D">
            <w:pPr>
              <w:numPr>
                <w:ilvl w:val="0"/>
                <w:numId w:val="1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предъявляемые к рациональной организации труда;</w:t>
            </w:r>
          </w:p>
          <w:p w:rsidR="00D733CD" w:rsidRDefault="009D7E5D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бережливого производства. Виды потерь;</w:t>
            </w:r>
          </w:p>
          <w:p w:rsidR="00D733CD" w:rsidRDefault="009D7E5D"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бережливого производства;</w:t>
            </w:r>
          </w:p>
          <w:p w:rsidR="00D733CD" w:rsidRDefault="009D7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Технологию создания эффективного рабочего места системы 5S.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</w:tr>
      <w:tr w:rsidR="00D733CD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 </w:t>
            </w:r>
          </w:p>
          <w:p w:rsidR="00D733CD" w:rsidRDefault="009D7E5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работы по приемке и сдаче смены;</w:t>
            </w:r>
          </w:p>
          <w:p w:rsidR="00D733CD" w:rsidRDefault="009D7E5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инструктаж по охране труда;</w:t>
            </w:r>
          </w:p>
          <w:p w:rsidR="00D733CD" w:rsidRDefault="009D7E5D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работы по уборке рабочего места, приспособлений, инструмента, содержанию их в надлежащем состоянии;</w:t>
            </w:r>
          </w:p>
          <w:p w:rsidR="00D733CD" w:rsidRDefault="009D7E5D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эффективное рабочее место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5S;</w:t>
            </w:r>
          </w:p>
          <w:p w:rsidR="00D733CD" w:rsidRDefault="009D7E5D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Определять все нужные предметы и размещать их в специально отведенном месте;</w:t>
            </w:r>
          </w:p>
          <w:p w:rsidR="00D733CD" w:rsidRDefault="009D7E5D">
            <w:p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инструменты и методы  бережливого производства.</w:t>
            </w:r>
          </w:p>
          <w:p w:rsidR="00D733CD" w:rsidRDefault="009D7E5D">
            <w:pPr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навыки оказания первой медицинской помощи</w:t>
            </w:r>
          </w:p>
          <w:p w:rsidR="00D733CD" w:rsidRDefault="00D73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3C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Ведение технической документации (в бумажном и электронном виде)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12,90</w:t>
            </w:r>
          </w:p>
        </w:tc>
      </w:tr>
      <w:tr w:rsidR="00D733CD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 </w:t>
            </w:r>
          </w:p>
          <w:p w:rsidR="00D733CD" w:rsidRDefault="009D7E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технической документации;</w:t>
            </w:r>
          </w:p>
          <w:p w:rsidR="00D733CD" w:rsidRDefault="009D7E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ведения различных форм отчетности;</w:t>
            </w:r>
          </w:p>
          <w:p w:rsidR="00D733CD" w:rsidRDefault="009D7E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хранения технической документации;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внесения изменений в техническую документацию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</w:tr>
      <w:tr w:rsidR="00D733CD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 </w:t>
            </w:r>
          </w:p>
          <w:p w:rsidR="00D733CD" w:rsidRDefault="009D7E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акты на контейнеры, требующие ремонта;</w:t>
            </w:r>
          </w:p>
          <w:p w:rsidR="00D733CD" w:rsidRDefault="009D7E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уведомления о неисправности вагонов для отцепки от состава;</w:t>
            </w:r>
          </w:p>
          <w:p w:rsidR="00D733CD" w:rsidRDefault="009D7E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Оформлять техническую документацию на поврежденные вагоны и контейнеры;</w:t>
            </w:r>
          </w:p>
          <w:p w:rsidR="00D733CD" w:rsidRDefault="009D7E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технические акты на поврежденные и исключаемые из инве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нтаря вагоны и контейнеры;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 установленную техническую документацию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3C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в коллективе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4,25</w:t>
            </w:r>
          </w:p>
        </w:tc>
      </w:tr>
      <w:tr w:rsidR="00D733CD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 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Кодекс деловой этики ОАО «Российские железные дороги»;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Регламент переговоров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и этику делового общения;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Важность построения и поддержания продуктивных рабочих взаимоотношений с коллегами и руководителями смены;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организации эффективной командной работы;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Техники разрешения конфликтных ситуаций;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менеджмента в области профессиональной деятельности;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 принятия и реализации управленческих решений;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 управления, коммуникации;</w:t>
            </w:r>
          </w:p>
          <w:p w:rsidR="00D733CD" w:rsidRDefault="009D7E5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Обязанности лиц, ответственных за безопасность при выполнении работ;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ведения деловой переписки, в том числе в электронной форме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spacing w:after="0"/>
              <w:rPr>
                <w:sz w:val="2"/>
                <w:szCs w:val="2"/>
              </w:rPr>
            </w:pPr>
          </w:p>
        </w:tc>
      </w:tr>
      <w:tr w:rsidR="00D733CD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 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Соблюдать Кодекс деловой этики ОАО «Российские железные дороги»;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регламенты переговоров и взаимодействия с основными производственными вертикалями;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Передавать информацию о технической готовности поезда и отдельных вагонов;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Организовывать работу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проведению технического обслуживания и текущего ремонта вагонов;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Расстановка осмотрщиков-ремонтников вагонов по рабочим местам;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Доведение до осмотрщиков-ремонтников вагонов задания по техническому обслуживанию грузовых и пассажирских вагонов;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полнения задания по техническому обслуживанию грузовых и пассажирских вагонов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Соблюдать нормы профессионального общения;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Выстраивать продуктивные рабочие взаимоотношения с коллегами и руководителем;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Ставить цели, мотивировать деятельность подчиненных;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модействовать со смежными службами;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Распределять задания между подчиненными работниками и работниками смежных служб согласно их компетенциям, организовывать и контролировать работу подчиненных;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Предотвращать и регулировать конфликтные ситуации;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себя ответственность за результат;</w:t>
            </w:r>
          </w:p>
          <w:p w:rsidR="00D733CD" w:rsidRDefault="009D7E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деловое письмо, вести электронную деловую переписку;</w:t>
            </w:r>
          </w:p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контроль соблюдения трудовой и технологической дисциплины работниками, находящимися в оперативном подчинении, с принятием корректирующих мер при нарушении.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733CD" w:rsidRDefault="00D733CD"/>
    <w:p w:rsidR="00D733CD" w:rsidRPr="009D7E5D" w:rsidRDefault="009D7E5D">
      <w:pPr>
        <w:pStyle w:val="2"/>
        <w:spacing w:before="0" w:after="0"/>
        <w:ind w:firstLine="709"/>
        <w:jc w:val="both"/>
        <w:rPr>
          <w:lang w:val="ru-RU"/>
        </w:rPr>
      </w:pPr>
      <w:r w:rsidRPr="009D7E5D">
        <w:rPr>
          <w:color w:val="000000"/>
          <w:sz w:val="24"/>
          <w:lang w:val="ru-RU"/>
        </w:rPr>
        <w:t xml:space="preserve">1.3. </w:t>
      </w:r>
      <w:r w:rsidRPr="009D7E5D">
        <w:rPr>
          <w:color w:val="000000"/>
          <w:lang w:val="ru-RU"/>
        </w:rPr>
        <w:t>ТРЕБОВАНИЯ К СХЕМЕ ОЦЕНКИ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D733CD" w:rsidRDefault="009D7E5D">
      <w:pPr>
        <w:spacing w:after="240"/>
      </w:pPr>
      <w:r>
        <w:br/>
      </w:r>
      <w:r>
        <w:br/>
      </w:r>
      <w:r>
        <w:br/>
      </w:r>
    </w:p>
    <w:p w:rsidR="00D733CD" w:rsidRDefault="009D7E5D">
      <w:r>
        <w:br w:type="page"/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Таблица №2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:rsidR="00D733CD" w:rsidRDefault="00D733CD"/>
    <w:tbl>
      <w:tblPr>
        <w:tblStyle w:val="affd"/>
        <w:tblW w:w="98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95"/>
        <w:gridCol w:w="326"/>
        <w:gridCol w:w="846"/>
        <w:gridCol w:w="846"/>
        <w:gridCol w:w="846"/>
        <w:gridCol w:w="846"/>
        <w:gridCol w:w="636"/>
        <w:gridCol w:w="2914"/>
      </w:tblGrid>
      <w:tr w:rsidR="00D733CD">
        <w:trPr>
          <w:trHeight w:val="1538"/>
          <w:jc w:val="center"/>
        </w:trPr>
        <w:tc>
          <w:tcPr>
            <w:tcW w:w="6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Критерий/Модуль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баллов за раздел ТРЕБОВАНИЙ КОМПЕТЕНЦИИ</w:t>
            </w:r>
          </w:p>
        </w:tc>
      </w:tr>
      <w:tr w:rsidR="00D733CD">
        <w:trPr>
          <w:trHeight w:val="70"/>
          <w:jc w:val="center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Разделы ТРЕБОВАНИЙ КОМПЕТЕНЦИИ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rPr>
                <w:sz w:val="8"/>
                <w:szCs w:val="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Б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В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8" w:hanging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2" w:firstLine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rPr>
                <w:sz w:val="8"/>
                <w:szCs w:val="8"/>
              </w:rPr>
            </w:pPr>
          </w:p>
        </w:tc>
      </w:tr>
      <w:tr w:rsidR="00D733CD">
        <w:trPr>
          <w:trHeight w:val="50"/>
          <w:jc w:val="center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8"/>
                <w:szCs w:val="8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1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6,50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27,10</w:t>
            </w:r>
          </w:p>
        </w:tc>
      </w:tr>
      <w:tr w:rsidR="00D733CD">
        <w:trPr>
          <w:trHeight w:val="50"/>
          <w:jc w:val="center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2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11,45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21,70</w:t>
            </w:r>
          </w:p>
        </w:tc>
      </w:tr>
      <w:tr w:rsidR="00D733CD">
        <w:trPr>
          <w:trHeight w:val="50"/>
          <w:jc w:val="center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3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8,75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2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12,00</w:t>
            </w:r>
          </w:p>
        </w:tc>
      </w:tr>
      <w:tr w:rsidR="00D733CD">
        <w:trPr>
          <w:trHeight w:val="50"/>
          <w:jc w:val="center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4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D733CD">
        <w:trPr>
          <w:trHeight w:val="50"/>
          <w:jc w:val="center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5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3,35</w:t>
            </w:r>
          </w:p>
        </w:tc>
        <w:tc>
          <w:tcPr>
            <w:tcW w:w="2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5,55</w:t>
            </w:r>
          </w:p>
        </w:tc>
      </w:tr>
      <w:tr w:rsidR="00D733CD">
        <w:trPr>
          <w:trHeight w:val="50"/>
          <w:jc w:val="center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4,50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10,50</w:t>
            </w:r>
          </w:p>
        </w:tc>
      </w:tr>
      <w:tr w:rsidR="00D733CD">
        <w:trPr>
          <w:trHeight w:val="50"/>
          <w:jc w:val="center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3,50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9,40</w:t>
            </w:r>
          </w:p>
        </w:tc>
        <w:tc>
          <w:tcPr>
            <w:tcW w:w="2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12,90</w:t>
            </w:r>
          </w:p>
        </w:tc>
      </w:tr>
      <w:tr w:rsidR="00D733CD">
        <w:trPr>
          <w:trHeight w:val="50"/>
          <w:jc w:val="center"/>
        </w:trPr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D7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4,25</w:t>
            </w:r>
          </w:p>
        </w:tc>
      </w:tr>
      <w:tr w:rsidR="00D733CD">
        <w:trPr>
          <w:trHeight w:val="50"/>
          <w:jc w:val="center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баллов за критерий/модуль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6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B05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733CD" w:rsidRDefault="009D7E5D">
            <w:pPr>
              <w:widowControl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D733CD" w:rsidRDefault="00D733CD">
      <w:pPr>
        <w:spacing w:after="240"/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СПЕЦИФИКАЦИЯ ОЦЕНКИ КОМПЕТЕНЦИИ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№3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конкурсного задания</w:t>
      </w:r>
    </w:p>
    <w:tbl>
      <w:tblPr>
        <w:tblStyle w:val="affe"/>
        <w:tblW w:w="985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90"/>
        <w:gridCol w:w="2943"/>
        <w:gridCol w:w="6522"/>
      </w:tblGrid>
      <w:tr w:rsidR="00D733CD"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733C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Осмотр и диагностика узлов и деталей вагонов и контейнеров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Визуально определять дефекты; производить технический осмотр контейнеров; выявлять неисправности, угрожающие безопасности движения поездов, сохранности подвижного состава и перевозимого груза; определять дефекты в корпусе и деталях контейнеров; 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герметичности контейнеров, обеспечивающей сохранность груза; ограждение поезда (состава) щитами при техническом осмотре контейнеров при отсутствии автоматизированного централизованного ограждения; осуществлять отцепку вагонов от состава;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выполнять техничес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кие требования по обеспечению сохранности вагонов при техническом обслуживании; визуально определять дефекты кузовов, узлов рамы, ходовых частей,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автосцепных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редукторно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крытых и изотермических вагонов;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осуществлять техническое обслуживание вагонов, груже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нных опасным грузом; применять методы и средства технических измерений, стандарты, технические регламенты и другие нормативные документы при технической диагностике подвижного состава; обнаруживать неисправности подвижного состава  в эксплуатации; применен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регламента переговоров работников  железнодорожного транспорта в профессиональной деятельности</w:t>
            </w:r>
          </w:p>
        </w:tc>
      </w:tr>
      <w:tr w:rsidR="00D733C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Б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Измерение параметров и устранение выявленных неисправностей узлов и деталей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все виды ремонта кузовов, узлов рамы, ходовых частей,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автосцепных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устройств, тормозов и рычажных передач с авторегуляторами, буксовых узлов с подшипниками качения,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редукторно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-карданных приводов, холодильных установок, электро- и радиооборудова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ния, приборов отопления вагонов, внутреннего оборудования пассажирских вагонов, полов, крыш крытых и изотермических вагонов; ремонт грузовых вагонов всех типов с использованием универсальных установок</w:t>
            </w:r>
            <w:proofErr w:type="gramEnd"/>
          </w:p>
        </w:tc>
      </w:tr>
      <w:tr w:rsidR="00D733C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Действия в нестандартной ситуации 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Применять регламе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 действий в нестандартных ситуациях в случаи выхода из строя оборудования или узлов вагона с обеспечением безопасности движения и сохранности перевозимого груза</w:t>
            </w:r>
          </w:p>
        </w:tc>
      </w:tr>
      <w:tr w:rsidR="00D733C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Обслуживание автотормозов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Производить опробование, обслуживание и ремонт тормозного оборуд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 в соответствии с требованиями инструкций, обеспечивать безопасность при работе; правильно производить оформление различных форм отчетности о пригодности тормозного оборудования к эксплуатации; взаимодействовать с работниками смежных служб</w:t>
            </w:r>
          </w:p>
        </w:tc>
      </w:tr>
      <w:tr w:rsidR="00D733C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комплектации вагона, измерение параметров и заполнение технической документации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3CD" w:rsidRDefault="009D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 установленную техническую документацию в соответствии с едиными стандартами технической документации и отраслевыми требованиями ОАО «РЖД»</w:t>
            </w:r>
          </w:p>
        </w:tc>
      </w:tr>
    </w:tbl>
    <w:p w:rsidR="00D733CD" w:rsidRDefault="00D733CD"/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1.5. КОНКУРСНОЕ ЗАДАНИЕ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задания: 8 ч.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зависимости от количества модулей,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знаний конкурсант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1.5.1. Разработка/выбор конкурсного задания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рсное задание состоит из трёх модулей, включает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(инвариант) – двух модулей, и вариативную часть – одного модуля. Общее количество баллов конкурсного задания составляет 100.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(инвариант)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всеми регионами без исключения на всех уровнях чемпионатов.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на выполнение модуля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 и количество баллов в критериях оценки по аспектам не меняются.</w:t>
      </w:r>
    </w:p>
    <w:p w:rsidR="00D733CD" w:rsidRDefault="00D733CD"/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1.5.2. Структура модулей конкурсного задания (инвариант/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Осмотр и диагностика узлов и деталей вагонов и контейнеров (инвариант)</w:t>
      </w:r>
    </w:p>
    <w:p w:rsidR="00D733CD" w:rsidRDefault="009D7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проверки – результаты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проверяются по окончании работ.</w:t>
      </w:r>
    </w:p>
    <w:p w:rsidR="00D733CD" w:rsidRDefault="009D7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выполняется индивидуально на  рабочем месте;</w:t>
      </w:r>
    </w:p>
    <w:p w:rsidR="00D733CD" w:rsidRDefault="009D7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оценивают работу каждого конкурсанта индивидуально по одинаковым критериям и аспектам оценки.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выполнения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час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Условие задания: 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необходимо выполнить осмотр и диагностику узлов и деталей вагона (или его элементов) с использованием технологии двенадцати позиционного осмотра вагонов, в соответствии с требованиями технологического процесса, с использованием измерительных инст</w:t>
      </w:r>
      <w:r>
        <w:rPr>
          <w:rFonts w:ascii="Times New Roman" w:eastAsia="Times New Roman" w:hAnsi="Times New Roman" w:cs="Times New Roman"/>
          <w:sz w:val="28"/>
          <w:szCs w:val="28"/>
        </w:rPr>
        <w:t>рументов и шаблонов, с соблюдением всех правил охраны труда, инструкций и ПТЭ, а также, регламента переговоров. 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Предъявление состава к осмотру и выполнение предварительных операций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пройти инструктаж по охране труда, получить инструмент и принадлежности осмотрщика-ремонтника вагонов, оформив все необходимые документы в установленном порядке. По команде оператора ПТО выйти на указанный путь станции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Учебная</w:t>
      </w:r>
      <w:r>
        <w:rPr>
          <w:rFonts w:ascii="Times New Roman" w:eastAsia="Times New Roman" w:hAnsi="Times New Roman" w:cs="Times New Roman"/>
          <w:sz w:val="28"/>
          <w:szCs w:val="28"/>
        </w:rPr>
        <w:t>». Убедится в ограждении сост</w:t>
      </w:r>
      <w:r>
        <w:rPr>
          <w:rFonts w:ascii="Times New Roman" w:eastAsia="Times New Roman" w:hAnsi="Times New Roman" w:cs="Times New Roman"/>
          <w:sz w:val="28"/>
          <w:szCs w:val="28"/>
        </w:rPr>
        <w:t>ава (по рации, по показаниям заградительного светофора или тормозным башмакам).</w:t>
      </w:r>
    </w:p>
    <w:p w:rsidR="00D733CD" w:rsidRDefault="00D7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Осмотр вагона по 12 позициям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пролазкой</w:t>
      </w:r>
      <w:proofErr w:type="spellEnd"/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необходимо сымитировать действия по выпуску воздуха из тормозной магистрали </w:t>
      </w:r>
      <w:r>
        <w:rPr>
          <w:rFonts w:ascii="Times New Roman" w:eastAsia="Times New Roman" w:hAnsi="Times New Roman" w:cs="Times New Roman"/>
          <w:sz w:val="28"/>
          <w:szCs w:val="28"/>
        </w:rPr>
        <w:t>хвостового вагона. Осуществить разрядку тормозной магистрали по средства выпуска воздуха из ТМ, путем открытия концевого крана на хвостовом вагоне с соблюдением техники безопасности. Передать номер хвостового вагона.</w:t>
      </w:r>
    </w:p>
    <w:p w:rsidR="00D733CD" w:rsidRDefault="009D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необходимо выполнить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разрядки тормозов вагона. Осуществить выпуск воздуха через выпускной клапан главной части воздухораспределителя.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осмотр вагона (или его элементов) согласно технологии двенадцати позиционного осмотра. Осмотр производить согласно инструкции о</w:t>
      </w:r>
      <w:r>
        <w:rPr>
          <w:rFonts w:ascii="Times New Roman" w:eastAsia="Times New Roman" w:hAnsi="Times New Roman" w:cs="Times New Roman"/>
          <w:sz w:val="28"/>
          <w:szCs w:val="28"/>
        </w:rPr>
        <w:t>смотрщика по ремонту и обслуживанию вагонов, с соблюдением порядка осмотра, соблюдением ОТ и ТБ и озвучиванием выявленных критически важных неисправностей экспертной группе. При выполнении осмотра конкурсант должен использовать необходимый инструмент, шабл</w:t>
      </w:r>
      <w:r>
        <w:rPr>
          <w:rFonts w:ascii="Times New Roman" w:eastAsia="Times New Roman" w:hAnsi="Times New Roman" w:cs="Times New Roman"/>
          <w:sz w:val="28"/>
          <w:szCs w:val="28"/>
        </w:rPr>
        <w:t>оны, средства защиты.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А3 Выполнение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диагностических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операции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Осуществить вскрытие смотровой крышки буксового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узла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неисправностью обнаруженной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остукивании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осмотра. Выполнить операции по откручив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анию смотровой крышки и осмотра торцевого крепления. Выполнить операции по определению длины цепи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расцепного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рычага (Короткая/Длинная)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Обнаружение неисправностей требующих отцепки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осмотра выявить </w:t>
      </w:r>
      <w:r>
        <w:rPr>
          <w:rFonts w:ascii="Times New Roman" w:eastAsia="Times New Roman" w:hAnsi="Times New Roman" w:cs="Times New Roman"/>
          <w:sz w:val="28"/>
          <w:szCs w:val="28"/>
        </w:rPr>
        <w:t>неисправности, угрожающие безопасности движения поездов и озвучить их экспертной группе с указанием места неисправности и осуществляемым видом ремонта.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А5 Найдены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неисправности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 требующие отцепки вагона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осмотра выявить неисправности, не требующие для осуществления ремонта отцепку вагона из состава и озвучить их экспертной группе с указанием места неисправности и осуществляемым видом ремонта.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 регламента переговоров и выполнение дополнительных операций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обмеловку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выполняемым операциям при осмотре и отцепке вагона. Передать информацию необходимую для отцепки вагона при о</w:t>
      </w:r>
      <w:r>
        <w:rPr>
          <w:rFonts w:ascii="Times New Roman" w:eastAsia="Times New Roman" w:hAnsi="Times New Roman" w:cs="Times New Roman"/>
          <w:sz w:val="28"/>
          <w:szCs w:val="28"/>
        </w:rPr>
        <w:t>бнаружении неисправности требующей отцепки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Измерение параметров и устранение выявленных неисправностей узлов и деталей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(инвариант)</w:t>
      </w:r>
    </w:p>
    <w:p w:rsidR="00D733CD" w:rsidRDefault="009D7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проверки – результаты выполнения задания проверяются по окончании работ.</w:t>
      </w:r>
    </w:p>
    <w:p w:rsidR="00D733CD" w:rsidRDefault="009D7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выполняется индивидуально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  рабочем месте;</w:t>
      </w:r>
    </w:p>
    <w:p w:rsidR="00D733CD" w:rsidRDefault="009D7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оценивают работу каждого конкурсанта индивидуально по одинаковым критериям и аспектам оценки.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выполнения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часов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необходимо осуществить разборку, сборку механизма автосцепки,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замену подвески башмака тележки и концевого крана.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Разборка, сборка замена неисправной детали и проверка механизма автосцепки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Произвести разборку механизма автосцепки с обозначением деталей и их предназначения, диагностики этих деталей на предмет неисправностей, замену неисправных деталей и сборку автосцепки. Осуществить контроль шаблонами 873 и 940р собранного механизма автосцеп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ки. 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Замена концевого крана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Осуществить замену концевого крана вагона в соответствии с требованиями технологического процесса с использованием исправных инструментов, с соблюдением всех правил охраны труда,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инструкций и ПТЭ, с применением системы 5S, а также регламента переговоров.</w:t>
      </w:r>
    </w:p>
    <w:p w:rsidR="00D733CD" w:rsidRDefault="009D7E5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3CD" w:rsidRDefault="009D7E5D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Б3 Замена подвески башмака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Осуществить замену подвески башмака вагона в соответствии с требованиями технологического процесса с испол</w:t>
      </w:r>
      <w:r>
        <w:rPr>
          <w:rFonts w:ascii="Times New Roman" w:eastAsia="Times New Roman" w:hAnsi="Times New Roman" w:cs="Times New Roman"/>
          <w:sz w:val="28"/>
          <w:szCs w:val="28"/>
        </w:rPr>
        <w:t>ьзованием исправных инструментов, с соблюдением всех правил охраны труда, инструкций и ПТЭ, с применением системы 5S, а также регламента переговоров.</w:t>
      </w:r>
    </w:p>
    <w:p w:rsidR="00D733CD" w:rsidRDefault="00D733CD"/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Действия в нестандартной ситуации (инвариант)</w:t>
      </w:r>
    </w:p>
    <w:p w:rsidR="00D733CD" w:rsidRDefault="009D7E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проверки – результаты выполнения задания проверяются по окончании работ.</w:t>
      </w:r>
    </w:p>
    <w:p w:rsidR="00D733CD" w:rsidRDefault="009D7E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выполняется индивидуально на  рабочем месте;</w:t>
      </w:r>
    </w:p>
    <w:p w:rsidR="00D733CD" w:rsidRDefault="009D7E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оценивают работу каждого конкурсанта индивидуально по одинаковым критериям и аспектам оценки.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выполнения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необходимо осуществить закрепление обводного рукава на вагоне, а также осуществить выполнение стяжки тележки на вагоне. Работу выполнить в соответствии с требованиями технологического процесса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спользованием измерительных инструментов и приборов с соблюдением всех правил охраны труда, инструкций и ПТЭ, а также регламента переговоров.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действий при обнаружении сползания буксы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Осмотреть колесн</w:t>
      </w:r>
      <w:r>
        <w:rPr>
          <w:rFonts w:ascii="Times New Roman" w:eastAsia="Times New Roman" w:hAnsi="Times New Roman" w:cs="Times New Roman"/>
          <w:sz w:val="28"/>
          <w:szCs w:val="28"/>
        </w:rPr>
        <w:t>ые пары тележки, выявить сползание буксового узла и осуществить выполнение стяжки тележки на вагоне. Работу выполнить в соответствии с требованиями технологического процесса с использованием измерительных инструментов и приборов с соблюдением всех правил о</w:t>
      </w:r>
      <w:r>
        <w:rPr>
          <w:rFonts w:ascii="Times New Roman" w:eastAsia="Times New Roman" w:hAnsi="Times New Roman" w:cs="Times New Roman"/>
          <w:sz w:val="28"/>
          <w:szCs w:val="28"/>
        </w:rPr>
        <w:t>храны труда, инструкций и ПТЭ, а также регламента переговоров.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действия при обрыве подводящей трубки и износе резьбы в тройнике на перегоне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Оценить обстановку и получить вводную информацию по обрыву подводящих трубок и износу резьбы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существить устранение неисправностей путем установки пробки или отключения тормозов вагона. Работу выполнить в соответствии с требованиями технологического проце</w:t>
      </w:r>
      <w:r>
        <w:rPr>
          <w:rFonts w:ascii="Times New Roman" w:eastAsia="Times New Roman" w:hAnsi="Times New Roman" w:cs="Times New Roman"/>
          <w:sz w:val="28"/>
          <w:szCs w:val="28"/>
        </w:rPr>
        <w:t>сса с использованием измерительных инструментов и приборов с соблюдением всех правил охраны труда, инструкций и ПТЭ, а также регламента переговоров.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В3 Порядок действия при неисправности тормозной магистрали на перегоне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widowControl w:val="0"/>
        <w:spacing w:after="0" w:line="276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Оценить обстановку, получить вводную информацию о необходимости установки обводного рукава. Перекрыть концевые краны до и после вагона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неисправной тормозной магистралью. Отпустить тормоза вагона. Осуществить з</w:t>
      </w:r>
      <w:r>
        <w:rPr>
          <w:rFonts w:ascii="Times New Roman" w:eastAsia="Times New Roman" w:hAnsi="Times New Roman" w:cs="Times New Roman"/>
          <w:sz w:val="28"/>
          <w:szCs w:val="28"/>
        </w:rPr>
        <w:t>акрепление обводного рукава в соответствии с технологией применения обводного рукава при неисправности тормозной магистрали грузовых и пассажирских вагонов. Работу выполнить в соответствии с требованиями технологического процесса с использованием измерител</w:t>
      </w:r>
      <w:r>
        <w:rPr>
          <w:rFonts w:ascii="Times New Roman" w:eastAsia="Times New Roman" w:hAnsi="Times New Roman" w:cs="Times New Roman"/>
          <w:sz w:val="28"/>
          <w:szCs w:val="28"/>
        </w:rPr>
        <w:t>ьных инструментов и приборов с соблюдением всех правил охраны труда, инструкций и ПТЭ, а также регламента переговоров.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D733CD"/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Г: Обслуживание автотормозов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733CD" w:rsidRDefault="009D7E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проверки – результаты выполнения задания проверяются по окончании работ.</w:t>
      </w:r>
    </w:p>
    <w:p w:rsidR="00D733CD" w:rsidRDefault="009D7E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ыполняется индивидуально на  рабочем месте;</w:t>
      </w:r>
    </w:p>
    <w:p w:rsidR="00D733CD" w:rsidRDefault="009D7E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оценивают работу каждого конкурсанта индивидуально по одинаковым критериям и аспектам оценки.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выполнения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часа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Условие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необходимо произвести осмотр т</w:t>
      </w:r>
      <w:r>
        <w:rPr>
          <w:rFonts w:ascii="Times New Roman" w:eastAsia="Times New Roman" w:hAnsi="Times New Roman" w:cs="Times New Roman"/>
          <w:sz w:val="28"/>
          <w:szCs w:val="28"/>
        </w:rPr>
        <w:t>ормозного оборудования вагона согласно технологии восьми позиционного осмотра.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полное/сокращённое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опробование тормозов в установленном порядке.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полученных данных составить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передать машинисту (в лице РГО) справку об обеспечении поезда тормозами 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запроса информац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у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ператора связаться с экспертной группой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радиосвя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Осмотр тормозного оборудования вагона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Убедиться в безопасности проведения осмотра путем уточнения информац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ператора (экспертной группы/РГО). Произвести осмотр тормозного оборудования вагона 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восьми позиционного осмотра. Осмотр производить согласно инструкции осмотрщика по ремонту и обслуживанию вагонов, с соблюдением порядка осмотра, соблюдением ОТ и ТБ и озвучиванием выявленных критически важных неисправностей экспертной группе. П</w:t>
      </w:r>
      <w:r>
        <w:rPr>
          <w:rFonts w:ascii="Times New Roman" w:eastAsia="Times New Roman" w:hAnsi="Times New Roman" w:cs="Times New Roman"/>
          <w:sz w:val="28"/>
          <w:szCs w:val="28"/>
        </w:rPr>
        <w:t>ри выполнении осмотра конкурсант должен использовать необходимый инструмент, шаблоны, средства защиты.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Полное опробование автотормозов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действия, выполняемые осмотрщиком ремонтником вагона при вып</w:t>
      </w:r>
      <w:r>
        <w:rPr>
          <w:rFonts w:ascii="Times New Roman" w:eastAsia="Times New Roman" w:hAnsi="Times New Roman" w:cs="Times New Roman"/>
          <w:sz w:val="28"/>
          <w:szCs w:val="28"/>
        </w:rPr>
        <w:t>олнении операций по полному/сокращенному опробованию тормозов. Работу производить согласно инструкции осмотрщика по ремонту и обслуживанию вагонов, с соблюдением порядка осмотра, соблюдением ОТ и ТБ и озвучиванием выявленных критически важных неисправносте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экспертной группе. При выполнении осмотра конкурсант должен использовать необходимый инструмент, шаблоны, средства защиты.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Г3 Заполнение справки об обеспечении тормозами и исправном их действии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полученным данным после осуществления полного/сокращенного опробования тормозов, заполнить справку об обеспечении тормозами и исправном их действии. 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D733CD"/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 комплектации вагона, измерение параметров и заполнение технической документации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D733CD" w:rsidRDefault="009D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проверки – результаты выполнения задания проверяются по окончании работ.</w:t>
      </w:r>
    </w:p>
    <w:p w:rsidR="00D733CD" w:rsidRDefault="009D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выполняется индивидуально на  рабочем месте;</w:t>
      </w:r>
    </w:p>
    <w:p w:rsidR="00D733CD" w:rsidRDefault="009D7E5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оценивают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конкурсанта индивидуально по одинаковым критериям и аспектам оценки.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выполнения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часов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Условие задания: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необходимо произвести контроль комплектации вагона, измерение параметров колесных пар и заполнить соответствующие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кументы. Заполнить бланк формы ВУ-51, ВУ-23м, ВУ-26, оформить бланки технологической документации.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составленных документов  должно соответствовать требованиям ЕСТД (ГОСТ 3.1001-2011, ГОСТ 3.1102-2011, ГОСТ 3.1103-2011, ГОСТ 3.1105-2011, ГОСТ 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107-81, ГОСТ 3.1109-89, ГОСТ 3.1118-82 , ГОСТ 3.1119-82)  и инструкции по делопроизводству ОАО «РЖД». 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комплектации вагона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тип вагона, год постройки, дату и предприятие последнего планово</w:t>
      </w:r>
      <w:r>
        <w:rPr>
          <w:rFonts w:ascii="Times New Roman" w:eastAsia="Times New Roman" w:hAnsi="Times New Roman" w:cs="Times New Roman"/>
          <w:sz w:val="28"/>
          <w:szCs w:val="28"/>
        </w:rPr>
        <w:t>го ремонта, типы поглощающих аппаратов, типы и номера осей вагона, указать данные колес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номера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лавка,завод,год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определить тип буксового узла и указать тип торцевого крепления и номер предприятия, дата последнего освидетельствования, тип тележки и указа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номера (Номер, год, завод) литых деталей тележки, определить тип ВР и указать его номера. 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 производить согласно инструкции осмотрщика по ремонту и обслуживанию вагонов, с соблюдением ОТ и ТБ и озвучиванием контролируемых параметров экспертной гру</w:t>
      </w:r>
      <w:r>
        <w:rPr>
          <w:rFonts w:ascii="Times New Roman" w:eastAsia="Times New Roman" w:hAnsi="Times New Roman" w:cs="Times New Roman"/>
          <w:sz w:val="28"/>
          <w:szCs w:val="28"/>
        </w:rPr>
        <w:t>ппе. При выполнении осмотра конкурсант должен использовать необходимый инструмент, шаблоны, средства защиты.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Измерение параметров колесных пар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Произвести диагностику колесных пар на наличие неисправностей с использованием необходимых инструментов и шаблонов с соблюдением правильной последовательности измерений и с правильным выбором необходимого шаблона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иагностику выполнять с соблюдением ОТ и Т</w:t>
      </w:r>
      <w:r>
        <w:rPr>
          <w:rFonts w:ascii="Times New Roman" w:eastAsia="Times New Roman" w:hAnsi="Times New Roman" w:cs="Times New Roman"/>
          <w:sz w:val="28"/>
          <w:szCs w:val="28"/>
        </w:rPr>
        <w:t>Б и озвучиванием контролируемых параметров экспертной группе.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Д3 Заполнение бланка формы ВУ-51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полученных данных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заполнить бланк формы ВУ-51 и передать его РГО.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Оформление технической документации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Осуществить оформление маршрутной карты, операционной карты, карты эскизов, чертежа детали, согласно техническому заданию, полученному от экспертной группы. Оформление сост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авленных документов  должно соответствовать требованиям ЕСТД (ГОСТ 3.1001-2011, ГОСТ 3.1102-2011, ГОСТ 3.1103-2011, ГОСТ 3.1105-2011, ГОСТ 3.1107-81, ГОСТ 3.1109-89, ГОСТ 3.1118-82 , ГОСТ 3.1119-82)  и инструкции по делопроизводству ОАО «РЖД». 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Д5 Заполне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ние бланка формы ВУ-23М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техническому заданию, полученному от экспертной группы, заполнить бланк формы ВУ-23М,  и передать его РГО.</w:t>
      </w:r>
    </w:p>
    <w:p w:rsidR="00D733CD" w:rsidRDefault="00D733C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Заполнение бланка формы ВУ-26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</w:t>
      </w:r>
      <w:r>
        <w:rPr>
          <w:rFonts w:ascii="Times New Roman" w:eastAsia="Times New Roman" w:hAnsi="Times New Roman" w:cs="Times New Roman"/>
          <w:sz w:val="28"/>
          <w:szCs w:val="28"/>
        </w:rPr>
        <w:t>у при выполнении задания необ</w:t>
      </w:r>
      <w:r>
        <w:rPr>
          <w:rFonts w:ascii="Times New Roman" w:eastAsia="Times New Roman" w:hAnsi="Times New Roman" w:cs="Times New Roman"/>
          <w:sz w:val="28"/>
          <w:szCs w:val="28"/>
        </w:rPr>
        <w:t>ходимо:</w:t>
      </w:r>
    </w:p>
    <w:p w:rsidR="00D733CD" w:rsidRDefault="009D7E5D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техническому заданию, полученному от экспертной группы, заполнить бланк формы ВУ-26 и передать его РГО.</w:t>
      </w:r>
    </w:p>
    <w:p w:rsidR="00D733CD" w:rsidRDefault="00D733CD"/>
    <w:p w:rsidR="00D733CD" w:rsidRPr="009D7E5D" w:rsidRDefault="009D7E5D">
      <w:pPr>
        <w:pStyle w:val="2"/>
        <w:spacing w:before="0" w:after="0"/>
        <w:ind w:firstLine="709"/>
        <w:jc w:val="center"/>
        <w:rPr>
          <w:lang w:val="ru-RU"/>
        </w:rPr>
      </w:pPr>
      <w:r w:rsidRPr="009D7E5D">
        <w:rPr>
          <w:lang w:val="ru-RU"/>
        </w:rPr>
        <w:br w:type="page"/>
      </w:r>
    </w:p>
    <w:p w:rsidR="00D733CD" w:rsidRPr="009D7E5D" w:rsidRDefault="009D7E5D">
      <w:pPr>
        <w:pStyle w:val="2"/>
        <w:spacing w:before="0" w:after="0"/>
        <w:ind w:firstLine="709"/>
        <w:jc w:val="center"/>
        <w:rPr>
          <w:lang w:val="ru-RU"/>
        </w:rPr>
      </w:pPr>
      <w:r w:rsidRPr="009D7E5D">
        <w:rPr>
          <w:color w:val="000000"/>
          <w:lang w:val="ru-RU"/>
        </w:rPr>
        <w:lastRenderedPageBreak/>
        <w:t>2. СПЕЦИАЛЬНЫЕ ПРАВИЛА КОМПЕТЕНЦИИ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Отсутствуют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Личный инструмент конкурсанта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Нулевой (не требуется)</w:t>
      </w:r>
    </w:p>
    <w:p w:rsidR="00D733CD" w:rsidRPr="009D7E5D" w:rsidRDefault="009D7E5D">
      <w:pPr>
        <w:pStyle w:val="3"/>
        <w:spacing w:before="0"/>
        <w:ind w:firstLine="709"/>
        <w:rPr>
          <w:lang w:val="ru-RU"/>
        </w:rPr>
      </w:pPr>
      <w:r w:rsidRPr="009D7E5D">
        <w:rPr>
          <w:color w:val="000000"/>
          <w:sz w:val="28"/>
          <w:szCs w:val="28"/>
          <w:lang w:val="ru-RU"/>
        </w:rPr>
        <w:t>2.2.</w:t>
      </w:r>
      <w:r w:rsidRPr="009D7E5D">
        <w:rPr>
          <w:b w:val="0"/>
          <w:i/>
          <w:color w:val="000000"/>
          <w:sz w:val="28"/>
          <w:szCs w:val="28"/>
          <w:lang w:val="ru-RU"/>
        </w:rPr>
        <w:t xml:space="preserve"> </w:t>
      </w:r>
      <w:r w:rsidRPr="009D7E5D">
        <w:rPr>
          <w:color w:val="000000"/>
          <w:sz w:val="28"/>
          <w:szCs w:val="28"/>
          <w:lang w:val="ru-RU"/>
        </w:rPr>
        <w:t>Материалы, оборудование и инструменты, запрещенные на площадке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Конкурсантам запрещено пользоваться мобильными телефонами.</w:t>
      </w: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CD" w:rsidRDefault="00D733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Приложения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 Инфраструктурный лист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 Матрица конкурсного задания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№2.1 Инструкция к матрице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 №3 Критерии оценки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№4 Типовой план застройки</w:t>
      </w:r>
    </w:p>
    <w:p w:rsidR="00D733CD" w:rsidRDefault="009D7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№5 Инструкция по охране труда и технике безопасности</w:t>
      </w:r>
    </w:p>
    <w:p w:rsidR="00D733CD" w:rsidRDefault="00D733C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sectPr w:rsidR="00D733CD">
      <w:footerReference w:type="default" r:id="rId37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E5D">
      <w:pPr>
        <w:spacing w:after="0" w:line="240" w:lineRule="auto"/>
      </w:pPr>
      <w:r>
        <w:separator/>
      </w:r>
    </w:p>
  </w:endnote>
  <w:endnote w:type="continuationSeparator" w:id="0">
    <w:p w:rsidR="00000000" w:rsidRDefault="009D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CD" w:rsidRDefault="009D7E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733CD" w:rsidRDefault="00D733C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7E5D">
      <w:pPr>
        <w:spacing w:after="0" w:line="240" w:lineRule="auto"/>
      </w:pPr>
      <w:r>
        <w:separator/>
      </w:r>
    </w:p>
  </w:footnote>
  <w:footnote w:type="continuationSeparator" w:id="0">
    <w:p w:rsidR="00000000" w:rsidRDefault="009D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EA7"/>
    <w:multiLevelType w:val="multilevel"/>
    <w:tmpl w:val="08809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1D43DFA"/>
    <w:multiLevelType w:val="multilevel"/>
    <w:tmpl w:val="9B021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6CB395E"/>
    <w:multiLevelType w:val="multilevel"/>
    <w:tmpl w:val="F0245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78E10F9"/>
    <w:multiLevelType w:val="multilevel"/>
    <w:tmpl w:val="A6E2B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7901DE5"/>
    <w:multiLevelType w:val="multilevel"/>
    <w:tmpl w:val="090A4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A1B22CF"/>
    <w:multiLevelType w:val="multilevel"/>
    <w:tmpl w:val="27C28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F5F47CF"/>
    <w:multiLevelType w:val="multilevel"/>
    <w:tmpl w:val="105E2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4D964DD"/>
    <w:multiLevelType w:val="multilevel"/>
    <w:tmpl w:val="78888584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299A2575"/>
    <w:multiLevelType w:val="multilevel"/>
    <w:tmpl w:val="8AA2F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DD50EE5"/>
    <w:multiLevelType w:val="multilevel"/>
    <w:tmpl w:val="3022E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E97216C"/>
    <w:multiLevelType w:val="multilevel"/>
    <w:tmpl w:val="A732CCB8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FA47200"/>
    <w:multiLevelType w:val="multilevel"/>
    <w:tmpl w:val="643A84D8"/>
    <w:lvl w:ilvl="0">
      <w:start w:val="1"/>
      <w:numFmt w:val="bullet"/>
      <w:pStyle w:val="ListaBlack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D67510C"/>
    <w:multiLevelType w:val="multilevel"/>
    <w:tmpl w:val="18B2ACC2"/>
    <w:lvl w:ilvl="0">
      <w:start w:val="1"/>
      <w:numFmt w:val="bullet"/>
      <w:pStyle w:val="a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4A793D4E"/>
    <w:multiLevelType w:val="multilevel"/>
    <w:tmpl w:val="36B4F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C9067F1"/>
    <w:multiLevelType w:val="multilevel"/>
    <w:tmpl w:val="87D6B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50080506"/>
    <w:multiLevelType w:val="multilevel"/>
    <w:tmpl w:val="ED78C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50103C2E"/>
    <w:multiLevelType w:val="multilevel"/>
    <w:tmpl w:val="CF42C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523E6AAF"/>
    <w:multiLevelType w:val="multilevel"/>
    <w:tmpl w:val="38708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58B30F6F"/>
    <w:multiLevelType w:val="multilevel"/>
    <w:tmpl w:val="7A7ED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59A25DFC"/>
    <w:multiLevelType w:val="multilevel"/>
    <w:tmpl w:val="9A94B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757F61B1"/>
    <w:multiLevelType w:val="multilevel"/>
    <w:tmpl w:val="42923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78FB7AA9"/>
    <w:multiLevelType w:val="multilevel"/>
    <w:tmpl w:val="FFA29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5"/>
  </w:num>
  <w:num w:numId="5">
    <w:abstractNumId w:val="15"/>
  </w:num>
  <w:num w:numId="6">
    <w:abstractNumId w:val="20"/>
  </w:num>
  <w:num w:numId="7">
    <w:abstractNumId w:val="19"/>
  </w:num>
  <w:num w:numId="8">
    <w:abstractNumId w:val="11"/>
  </w:num>
  <w:num w:numId="9">
    <w:abstractNumId w:val="21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33CD"/>
    <w:rsid w:val="009D7E5D"/>
    <w:rsid w:val="00D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unhideWhenUsed/>
    <w:rsid w:val="005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2"/>
    <w:rsid w:val="00595F22"/>
  </w:style>
  <w:style w:type="paragraph" w:styleId="affa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unhideWhenUsed/>
    <w:rsid w:val="0059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2"/>
    <w:rsid w:val="00595F22"/>
  </w:style>
  <w:style w:type="paragraph" w:styleId="affa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document/d/1B_3dAi45mSWQkwyaFYSnVOMOO0M_E7vH/edit" TargetMode="External"/><Relationship Id="rId18" Type="http://schemas.openxmlformats.org/officeDocument/2006/relationships/hyperlink" Target="https://docs.google.com/document/d/1B_3dAi45mSWQkwyaFYSnVOMOO0M_E7vH/edit" TargetMode="External"/><Relationship Id="rId26" Type="http://schemas.openxmlformats.org/officeDocument/2006/relationships/hyperlink" Target="https://docs.google.com/document/d/1B_3dAi45mSWQkwyaFYSnVOMOO0M_E7vH/edi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B_3dAi45mSWQkwyaFYSnVOMOO0M_E7vH/edit" TargetMode="External"/><Relationship Id="rId34" Type="http://schemas.openxmlformats.org/officeDocument/2006/relationships/hyperlink" Target="https://docs.google.com/document/d/1B_3dAi45mSWQkwyaFYSnVOMOO0M_E7vH/ed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google.com/document/d/1B_3dAi45mSWQkwyaFYSnVOMOO0M_E7vH/edit" TargetMode="External"/><Relationship Id="rId17" Type="http://schemas.openxmlformats.org/officeDocument/2006/relationships/hyperlink" Target="https://docs.google.com/document/d/1B_3dAi45mSWQkwyaFYSnVOMOO0M_E7vH/edit" TargetMode="External"/><Relationship Id="rId25" Type="http://schemas.openxmlformats.org/officeDocument/2006/relationships/hyperlink" Target="https://docs.google.com/document/d/1B_3dAi45mSWQkwyaFYSnVOMOO0M_E7vH/edit" TargetMode="External"/><Relationship Id="rId33" Type="http://schemas.openxmlformats.org/officeDocument/2006/relationships/hyperlink" Target="https://docs.google.com/document/d/1B_3dAi45mSWQkwyaFYSnVOMOO0M_E7vH/edi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B_3dAi45mSWQkwyaFYSnVOMOO0M_E7vH/edit" TargetMode="External"/><Relationship Id="rId20" Type="http://schemas.openxmlformats.org/officeDocument/2006/relationships/hyperlink" Target="https://docs.google.com/document/d/1B_3dAi45mSWQkwyaFYSnVOMOO0M_E7vH/edit" TargetMode="External"/><Relationship Id="rId29" Type="http://schemas.openxmlformats.org/officeDocument/2006/relationships/hyperlink" Target="https://docs.google.com/document/d/1B_3dAi45mSWQkwyaFYSnVOMOO0M_E7vH/ed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B_3dAi45mSWQkwyaFYSnVOMOO0M_E7vH/edit" TargetMode="External"/><Relationship Id="rId24" Type="http://schemas.openxmlformats.org/officeDocument/2006/relationships/hyperlink" Target="https://docs.google.com/document/d/1B_3dAi45mSWQkwyaFYSnVOMOO0M_E7vH/edit" TargetMode="External"/><Relationship Id="rId32" Type="http://schemas.openxmlformats.org/officeDocument/2006/relationships/hyperlink" Target="https://docs.google.com/document/d/1B_3dAi45mSWQkwyaFYSnVOMOO0M_E7vH/edit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document/d/1B_3dAi45mSWQkwyaFYSnVOMOO0M_E7vH/edit" TargetMode="External"/><Relationship Id="rId23" Type="http://schemas.openxmlformats.org/officeDocument/2006/relationships/hyperlink" Target="https://docs.google.com/document/d/1B_3dAi45mSWQkwyaFYSnVOMOO0M_E7vH/edit" TargetMode="External"/><Relationship Id="rId28" Type="http://schemas.openxmlformats.org/officeDocument/2006/relationships/hyperlink" Target="https://docs.google.com/document/d/1B_3dAi45mSWQkwyaFYSnVOMOO0M_E7vH/edit" TargetMode="External"/><Relationship Id="rId36" Type="http://schemas.openxmlformats.org/officeDocument/2006/relationships/hyperlink" Target="https://docs.google.com/document/d/1B_3dAi45mSWQkwyaFYSnVOMOO0M_E7vH/edit" TargetMode="External"/><Relationship Id="rId10" Type="http://schemas.openxmlformats.org/officeDocument/2006/relationships/hyperlink" Target="https://docs.google.com/document/d/1B_3dAi45mSWQkwyaFYSnVOMOO0M_E7vH/edit" TargetMode="External"/><Relationship Id="rId19" Type="http://schemas.openxmlformats.org/officeDocument/2006/relationships/hyperlink" Target="https://docs.google.com/document/d/1B_3dAi45mSWQkwyaFYSnVOMOO0M_E7vH/edit" TargetMode="External"/><Relationship Id="rId31" Type="http://schemas.openxmlformats.org/officeDocument/2006/relationships/hyperlink" Target="https://docs.google.com/document/d/1B_3dAi45mSWQkwyaFYSnVOMOO0M_E7vH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document/d/1B_3dAi45mSWQkwyaFYSnVOMOO0M_E7vH/edit" TargetMode="External"/><Relationship Id="rId22" Type="http://schemas.openxmlformats.org/officeDocument/2006/relationships/hyperlink" Target="https://docs.google.com/document/d/1B_3dAi45mSWQkwyaFYSnVOMOO0M_E7vH/edit" TargetMode="External"/><Relationship Id="rId27" Type="http://schemas.openxmlformats.org/officeDocument/2006/relationships/hyperlink" Target="https://docs.google.com/document/d/1B_3dAi45mSWQkwyaFYSnVOMOO0M_E7vH/edit" TargetMode="External"/><Relationship Id="rId30" Type="http://schemas.openxmlformats.org/officeDocument/2006/relationships/hyperlink" Target="https://docs.google.com/document/d/1B_3dAi45mSWQkwyaFYSnVOMOO0M_E7vH/edit" TargetMode="External"/><Relationship Id="rId35" Type="http://schemas.openxmlformats.org/officeDocument/2006/relationships/hyperlink" Target="https://docs.google.com/document/d/1B_3dAi45mSWQkwyaFYSnVOMOO0M_E7vH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mAyIZ2SX3e7YXIZxs+IVPysKIw==">CgMxLjAyCGguZ2pkZ3hzOAByITFHUlhIS3NLMzZ5MnVxMEg3d2VKaFB6NXN6V0lWdkdpag==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4729</Words>
  <Characters>26960</Characters>
  <Application>Microsoft Office Word</Application>
  <DocSecurity>0</DocSecurity>
  <Lines>224</Lines>
  <Paragraphs>63</Paragraphs>
  <ScaleCrop>false</ScaleCrop>
  <Company/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Литвиненко Данила Евгеньевич</cp:lastModifiedBy>
  <cp:revision>2</cp:revision>
  <dcterms:created xsi:type="dcterms:W3CDTF">2023-11-14T03:50:00Z</dcterms:created>
  <dcterms:modified xsi:type="dcterms:W3CDTF">2023-12-11T04:39:00Z</dcterms:modified>
</cp:coreProperties>
</file>