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6A78E7A2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9C03C8">
        <w:rPr>
          <w:rFonts w:eastAsia="Times New Roman" w:cs="Times New Roman"/>
          <w:color w:val="000000"/>
          <w:sz w:val="40"/>
          <w:szCs w:val="40"/>
        </w:rPr>
        <w:t>Интеллектуальные системы учёта электроэнергии»</w:t>
      </w:r>
    </w:p>
    <w:p w14:paraId="40822D01" w14:textId="77777777" w:rsidR="009C03C8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i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9C03C8">
        <w:rPr>
          <w:rFonts w:eastAsia="Times New Roman" w:cs="Times New Roman"/>
          <w:i/>
          <w:sz w:val="36"/>
          <w:szCs w:val="36"/>
        </w:rPr>
        <w:t xml:space="preserve">Регионального этапа </w:t>
      </w:r>
    </w:p>
    <w:p w14:paraId="417850AC" w14:textId="4FB12935" w:rsidR="00584FB3" w:rsidRPr="00004270" w:rsidRDefault="00584FB3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9C03C8">
        <w:rPr>
          <w:rFonts w:eastAsia="Times New Roman" w:cs="Times New Roman"/>
          <w:color w:val="000000"/>
          <w:sz w:val="36"/>
          <w:szCs w:val="36"/>
        </w:rPr>
        <w:t>24</w:t>
      </w:r>
      <w:r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64903C24" w:rsidR="001A206B" w:rsidRDefault="001533D2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>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E002A3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r w:rsidRPr="00E002A3">
            <w:fldChar w:fldCharType="begin"/>
          </w:r>
          <w:r w:rsidRPr="00E002A3">
            <w:instrText xml:space="preserve"> TOC \h \u \z </w:instrText>
          </w:r>
          <w:r w:rsidRPr="00E002A3">
            <w:fldChar w:fldCharType="separate"/>
          </w:r>
          <w:hyperlink w:anchor="_heading=h.30j0zll" w:tooltip="#_heading=h.30j0zll" w:history="1">
            <w:r w:rsidRPr="00E002A3">
              <w:rPr>
                <w:rFonts w:eastAsia="Times New Roman" w:cs="Times New Roman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E002A3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E002A3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1fob9te" w:tooltip="#_heading=h.1fob9te" w:history="1">
            <w:r w:rsidR="00A8114D" w:rsidRPr="00E002A3">
              <w:rPr>
                <w:rFonts w:eastAsia="Times New Roman" w:cs="Times New Roman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E002A3">
              <w:rPr>
                <w:rFonts w:eastAsia="Times New Roman" w:cs="Times New Roman"/>
                <w:sz w:val="28"/>
                <w:szCs w:val="28"/>
              </w:rPr>
              <w:tab/>
              <w:t>3</w:t>
            </w:r>
          </w:hyperlink>
        </w:p>
        <w:p w14:paraId="1006F342" w14:textId="65AA1263" w:rsidR="001A206B" w:rsidRPr="00E002A3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2et92p0" w:tooltip="#_heading=h.2et92p0" w:history="1">
            <w:r w:rsidR="00A8114D" w:rsidRPr="00E002A3">
              <w:rPr>
                <w:rFonts w:eastAsia="Times New Roman" w:cs="Times New Roman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E002A3">
              <w:rPr>
                <w:rFonts w:eastAsia="Times New Roman" w:cs="Times New Roman"/>
                <w:sz w:val="28"/>
                <w:szCs w:val="28"/>
              </w:rPr>
              <w:tab/>
            </w:r>
            <w:r w:rsidR="00E002A3" w:rsidRPr="00E002A3">
              <w:rPr>
                <w:rFonts w:eastAsia="Times New Roman" w:cs="Times New Roman"/>
                <w:sz w:val="28"/>
                <w:szCs w:val="28"/>
              </w:rPr>
              <w:t>4</w:t>
            </w:r>
          </w:hyperlink>
        </w:p>
        <w:p w14:paraId="75AEF0BB" w14:textId="77777777" w:rsidR="001A206B" w:rsidRPr="00E002A3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tyjcwt" w:tooltip="#_heading=h.tyjcwt" w:history="1">
            <w:r w:rsidR="00A8114D" w:rsidRPr="00E002A3">
              <w:rPr>
                <w:rFonts w:eastAsia="Times New Roman" w:cs="Times New Roman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E002A3">
              <w:rPr>
                <w:rFonts w:eastAsia="Times New Roman" w:cs="Times New Roman"/>
                <w:sz w:val="28"/>
                <w:szCs w:val="28"/>
              </w:rPr>
              <w:tab/>
              <w:t>6</w:t>
            </w:r>
          </w:hyperlink>
        </w:p>
        <w:p w14:paraId="53563A42" w14:textId="6AFD73CE" w:rsidR="001A206B" w:rsidRPr="00E002A3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3dy6vkm" w:tooltip="#_heading=h.3dy6vkm" w:history="1">
            <w:r w:rsidR="00A8114D" w:rsidRPr="00E002A3">
              <w:rPr>
                <w:rFonts w:eastAsia="Times New Roman" w:cs="Times New Roman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E002A3">
              <w:rPr>
                <w:rFonts w:eastAsia="Times New Roman" w:cs="Times New Roman"/>
                <w:sz w:val="28"/>
                <w:szCs w:val="28"/>
              </w:rPr>
              <w:tab/>
            </w:r>
            <w:r w:rsidR="00E002A3">
              <w:rPr>
                <w:rFonts w:eastAsia="Times New Roman" w:cs="Times New Roman"/>
                <w:sz w:val="28"/>
                <w:szCs w:val="28"/>
              </w:rPr>
              <w:t>9</w:t>
            </w:r>
          </w:hyperlink>
        </w:p>
        <w:p w14:paraId="2E05C76D" w14:textId="32D65823" w:rsidR="001A206B" w:rsidRPr="00E002A3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1t3h5sf" w:tooltip="#_heading=h.1t3h5sf" w:history="1">
            <w:r w:rsidR="00A8114D" w:rsidRPr="00E002A3">
              <w:rPr>
                <w:rFonts w:eastAsia="Times New Roman" w:cs="Times New Roman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E002A3">
              <w:rPr>
                <w:rFonts w:eastAsia="Times New Roman" w:cs="Times New Roman"/>
                <w:sz w:val="28"/>
                <w:szCs w:val="28"/>
              </w:rPr>
              <w:tab/>
            </w:r>
            <w:r w:rsidR="00E002A3">
              <w:rPr>
                <w:rFonts w:eastAsia="Times New Roman" w:cs="Times New Roman"/>
                <w:sz w:val="28"/>
                <w:szCs w:val="28"/>
              </w:rPr>
              <w:t>13</w:t>
            </w:r>
          </w:hyperlink>
        </w:p>
        <w:p w14:paraId="2EC06515" w14:textId="321407B2" w:rsidR="001A206B" w:rsidRPr="00E002A3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sz w:val="28"/>
              <w:szCs w:val="28"/>
            </w:rPr>
          </w:pPr>
          <w:hyperlink w:anchor="_heading=h.4d34og8" w:tooltip="#_heading=h.4d34og8" w:history="1">
            <w:r w:rsidR="00A8114D" w:rsidRPr="00E002A3">
              <w:rPr>
                <w:rFonts w:eastAsia="Times New Roman" w:cs="Times New Roman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E002A3">
              <w:rPr>
                <w:rFonts w:eastAsia="Times New Roman" w:cs="Times New Roman"/>
                <w:sz w:val="28"/>
                <w:szCs w:val="28"/>
              </w:rPr>
              <w:tab/>
            </w:r>
            <w:r w:rsidR="00E002A3">
              <w:rPr>
                <w:rFonts w:eastAsia="Times New Roman" w:cs="Times New Roman"/>
                <w:sz w:val="28"/>
                <w:szCs w:val="28"/>
              </w:rPr>
              <w:t>15</w:t>
            </w:r>
          </w:hyperlink>
          <w:r w:rsidR="00A8114D" w:rsidRPr="00E002A3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BA08AE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EC4BD3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C4BD3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1B82D82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C4BD3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C4BD3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C4BD3">
        <w:rPr>
          <w:rFonts w:eastAsia="Times New Roman" w:cs="Times New Roman"/>
          <w:color w:val="000000"/>
          <w:sz w:val="28"/>
          <w:szCs w:val="28"/>
        </w:rPr>
        <w:t>Интеллектуальные системы учета электроэнергии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59154DDB" w14:textId="77777777" w:rsidR="00CF512D" w:rsidRDefault="00A8114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eastAsia="Times New Roman" w:cs="Times New Roman"/>
          <w:color w:val="000000"/>
          <w:sz w:val="28"/>
          <w:szCs w:val="28"/>
        </w:rPr>
        <w:t>Трудовой кодекс Российской Федерации от 30.12.2001 № 197-ФЗ.</w:t>
      </w:r>
    </w:p>
    <w:p w14:paraId="0E9B7301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cs="Times New Roman"/>
          <w:sz w:val="28"/>
          <w:szCs w:val="28"/>
        </w:rPr>
        <w:t>ГОСТ 32144–2013 Нормы качества электрической энергии в системах электроснабжения общего назначения.</w:t>
      </w:r>
    </w:p>
    <w:p w14:paraId="68F5344B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cs="Times New Roman"/>
          <w:sz w:val="28"/>
          <w:szCs w:val="28"/>
        </w:rPr>
        <w:t>ГОСТ Р МЭК 61037-2001 Учет электроэнергии. Тарификация и управление нагрузкой. Особые требования к электронным приемникам с импульсным управлением.</w:t>
      </w:r>
    </w:p>
    <w:p w14:paraId="6B226398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cs="Times New Roman"/>
          <w:sz w:val="28"/>
          <w:szCs w:val="28"/>
        </w:rPr>
        <w:t>ГОСТ Р МЭК 61038-2001 Учет электроэнергии. Тарификация и управление нагрузкой. Особые требования к переключателям по времени.</w:t>
      </w:r>
    </w:p>
    <w:p w14:paraId="764DE721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cs="Times New Roman"/>
          <w:sz w:val="28"/>
          <w:szCs w:val="28"/>
        </w:rPr>
        <w:t>ГОСТ 25990-83 Счетчики электрические активной энергии класса точности 2,0. Приемочный контроль</w:t>
      </w:r>
    </w:p>
    <w:p w14:paraId="56844DF9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cs="Times New Roman"/>
          <w:sz w:val="28"/>
          <w:szCs w:val="28"/>
        </w:rPr>
        <w:t>ГОСТ 30206-94 Статические счетчики ватт-часов активной энергии переменного тока(классы точности 0,2 S и 0,5 S)</w:t>
      </w:r>
    </w:p>
    <w:p w14:paraId="2656A680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cs="Times New Roman"/>
          <w:sz w:val="28"/>
          <w:szCs w:val="28"/>
        </w:rPr>
        <w:t>ГОСТ 30012.1-2002   Приборы аналоговые показывающие электроизмерительные прямого действия и вспомогательные части к ним. Часть 1. Определения и основные требования, общие для всех частей.</w:t>
      </w:r>
    </w:p>
    <w:p w14:paraId="43C1D159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cs="Times New Roman"/>
          <w:sz w:val="28"/>
          <w:szCs w:val="28"/>
        </w:rPr>
        <w:lastRenderedPageBreak/>
        <w:t>ГОСТ 7746-2001 Трансформаторы тока. Общие технические условия</w:t>
      </w:r>
    </w:p>
    <w:p w14:paraId="1F4226E9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eastAsia="Times New Roman"/>
          <w:bCs/>
          <w:sz w:val="28"/>
          <w:szCs w:val="28"/>
        </w:rPr>
        <w:t>ГОСТ 12.1.030-81: ССБТ. Электробезопасность. Защитное заземление и зануление;</w:t>
      </w:r>
    </w:p>
    <w:p w14:paraId="7C6E1CCB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eastAsia="Times New Roman"/>
          <w:bCs/>
          <w:sz w:val="28"/>
          <w:szCs w:val="28"/>
        </w:rPr>
        <w:t>ГОСТ 21.614-88: Изображения условные графические электрооборудования и проводок на планах;</w:t>
      </w:r>
    </w:p>
    <w:p w14:paraId="0F6EB3B6" w14:textId="77777777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F512D">
        <w:rPr>
          <w:rFonts w:eastAsia="Times New Roman"/>
          <w:bCs/>
          <w:sz w:val="28"/>
          <w:szCs w:val="28"/>
        </w:rPr>
        <w:t>ГОСТ 22483-77: Жилы токопроводящие медные и алюминиевые для кабелей, проводов и шнуров;</w:t>
      </w:r>
    </w:p>
    <w:p w14:paraId="43DF1401" w14:textId="3B35DEE4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CF512D">
        <w:rPr>
          <w:rFonts w:eastAsia="Times New Roman"/>
          <w:bCs/>
          <w:sz w:val="28"/>
          <w:szCs w:val="28"/>
        </w:rPr>
        <w:t>ГОСТ 29322-2014: Напряжения стандартные;</w:t>
      </w:r>
    </w:p>
    <w:p w14:paraId="40537946" w14:textId="6653E2EF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CF512D">
        <w:rPr>
          <w:rFonts w:eastAsia="Times New Roman"/>
          <w:bCs/>
          <w:sz w:val="28"/>
          <w:szCs w:val="28"/>
        </w:rPr>
        <w:t>ГОСТ 50571.1-2009: Электроустановки низковольтные. Часть 1;</w:t>
      </w:r>
    </w:p>
    <w:p w14:paraId="2566F718" w14:textId="30206873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CF512D">
        <w:rPr>
          <w:rFonts w:eastAsia="Times New Roman"/>
          <w:bCs/>
          <w:sz w:val="28"/>
          <w:szCs w:val="28"/>
        </w:rPr>
        <w:t>ГОСТ Р 50571.5.54-2013: Заземляющие устройства, защитные проводники и защитные проводники уравнивания потенциалов;</w:t>
      </w:r>
    </w:p>
    <w:p w14:paraId="60B1314E" w14:textId="326D8F54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CF512D">
        <w:rPr>
          <w:rFonts w:eastAsia="Times New Roman"/>
          <w:bCs/>
          <w:sz w:val="28"/>
          <w:szCs w:val="28"/>
        </w:rPr>
        <w:t>ГОСТ Р 50571.16-2007: Электроустановки низковольтные. Часть 6. Испытания;</w:t>
      </w:r>
    </w:p>
    <w:p w14:paraId="4E4CE319" w14:textId="4C4E37E6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CF512D">
        <w:rPr>
          <w:rFonts w:eastAsia="Times New Roman"/>
          <w:bCs/>
          <w:sz w:val="28"/>
          <w:szCs w:val="28"/>
        </w:rPr>
        <w:t xml:space="preserve">ГОСТ Р 53769-2010: Кабели силовые с пластмассовой изоляцией на номинальное напряжение 0,66; 1 и 3 </w:t>
      </w:r>
      <w:proofErr w:type="spellStart"/>
      <w:r w:rsidRPr="00CF512D">
        <w:rPr>
          <w:rFonts w:eastAsia="Times New Roman"/>
          <w:bCs/>
          <w:sz w:val="28"/>
          <w:szCs w:val="28"/>
        </w:rPr>
        <w:t>кВ.</w:t>
      </w:r>
      <w:proofErr w:type="spellEnd"/>
      <w:r w:rsidRPr="00CF512D">
        <w:rPr>
          <w:rFonts w:eastAsia="Times New Roman"/>
          <w:bCs/>
          <w:sz w:val="28"/>
          <w:szCs w:val="28"/>
        </w:rPr>
        <w:t xml:space="preserve"> Общие технические условия;</w:t>
      </w:r>
    </w:p>
    <w:p w14:paraId="4897FE40" w14:textId="392A701F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Pr="00CF512D">
        <w:rPr>
          <w:rFonts w:eastAsia="Times New Roman"/>
          <w:bCs/>
          <w:sz w:val="28"/>
          <w:szCs w:val="28"/>
        </w:rPr>
        <w:t>ГОСТ Р МЭК 61140-2000: Защита от поражения электрическим током;</w:t>
      </w:r>
    </w:p>
    <w:p w14:paraId="1EB52A4A" w14:textId="2C1C1494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CF512D">
        <w:rPr>
          <w:rFonts w:cs="Times New Roman"/>
          <w:sz w:val="28"/>
          <w:szCs w:val="28"/>
        </w:rPr>
        <w:t>СанПиН</w:t>
      </w:r>
      <w:r w:rsidRPr="00CF512D">
        <w:rPr>
          <w:rFonts w:eastAsia="Times New Roman" w:cs="Times New Roman"/>
          <w:bCs/>
          <w:sz w:val="28"/>
          <w:szCs w:val="28"/>
        </w:rPr>
        <w:t xml:space="preserve"> 2.2.1/2.1.1.1278-03: Гигиенические требования к естественному, искусственному и совмещенному освещению жилых и общественных зданий.</w:t>
      </w:r>
    </w:p>
    <w:p w14:paraId="0013C5CD" w14:textId="6FC34CFE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CF512D">
        <w:rPr>
          <w:rFonts w:cs="Times New Roman"/>
          <w:sz w:val="28"/>
          <w:szCs w:val="28"/>
        </w:rPr>
        <w:t xml:space="preserve">СП (СНИП) </w:t>
      </w:r>
      <w:r w:rsidRPr="00CF512D">
        <w:rPr>
          <w:rFonts w:eastAsia="Times New Roman" w:cs="Times New Roman"/>
          <w:bCs/>
          <w:sz w:val="28"/>
          <w:szCs w:val="28"/>
        </w:rPr>
        <w:t>СНиП 3.05.06-85: Электротехнические устройства</w:t>
      </w:r>
    </w:p>
    <w:p w14:paraId="0025D4B3" w14:textId="1A548FB3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Правила технической эксплуатации электроустановок потребителей, 2003 г.</w:t>
      </w:r>
    </w:p>
    <w:p w14:paraId="23316633" w14:textId="6018F2F1" w:rsidR="00CF512D" w:rsidRPr="00CF512D" w:rsidRDefault="00CF512D" w:rsidP="00CF512D">
      <w:pPr>
        <w:pStyle w:val="af6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Правила устройства электроустановок.</w:t>
      </w: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146576E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CF512D">
        <w:rPr>
          <w:rFonts w:eastAsia="Times New Roman" w:cs="Times New Roman"/>
          <w:color w:val="000000"/>
          <w:sz w:val="28"/>
          <w:szCs w:val="28"/>
        </w:rPr>
        <w:t>Интеллектуальные системы учета электроэнергии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39233A">
        <w:rPr>
          <w:rFonts w:eastAsia="Times New Roman" w:cs="Times New Roman"/>
          <w:color w:val="000000"/>
          <w:sz w:val="28"/>
          <w:szCs w:val="28"/>
        </w:rPr>
        <w:t>Электромонтёр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 xml:space="preserve">и имеющие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759B52DA" w14:textId="5A8ED5CA" w:rsidR="001A206B" w:rsidRDefault="00A8114D" w:rsidP="005D00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64AEBC04" w:rsidR="001A206B" w:rsidRPr="005D008A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D008A">
        <w:rPr>
          <w:rFonts w:eastAsia="Times New Roman" w:cs="Times New Roman"/>
          <w:color w:val="000000"/>
          <w:sz w:val="28"/>
          <w:szCs w:val="28"/>
        </w:rPr>
        <w:t>Перед началом выполнения работ конкурсант обязан:</w:t>
      </w:r>
    </w:p>
    <w:p w14:paraId="5F0C4E01" w14:textId="77777777" w:rsidR="005D008A" w:rsidRPr="005D008A" w:rsidRDefault="005D008A" w:rsidP="005D008A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В подготовительный,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 описанием компетенции.</w:t>
      </w:r>
    </w:p>
    <w:p w14:paraId="761971A0" w14:textId="77777777" w:rsidR="005D008A" w:rsidRPr="005D008A" w:rsidRDefault="005D008A" w:rsidP="005D008A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4928EB3B" w14:textId="77777777" w:rsidR="005D008A" w:rsidRPr="005D008A" w:rsidRDefault="005D008A" w:rsidP="005D008A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41D503AF" w14:textId="6C3CA409" w:rsidR="005D008A" w:rsidRPr="005D008A" w:rsidRDefault="005D008A" w:rsidP="005D008A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 xml:space="preserve"> Подготовить рабочее место:</w:t>
      </w:r>
    </w:p>
    <w:p w14:paraId="23FB34D5" w14:textId="047D503D" w:rsidR="005D008A" w:rsidRPr="005D008A" w:rsidRDefault="005D008A" w:rsidP="005D008A">
      <w:pPr>
        <w:pStyle w:val="af6"/>
        <w:numPr>
          <w:ilvl w:val="0"/>
          <w:numId w:val="9"/>
        </w:numPr>
        <w:spacing w:before="120" w:after="120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Подготовить инструмент и оборудование разрешенное к самостоятельной работе.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6435"/>
      </w:tblGrid>
      <w:tr w:rsidR="005D008A" w:rsidRPr="005D008A" w14:paraId="7B056BDA" w14:textId="77777777" w:rsidTr="005D008A">
        <w:trPr>
          <w:tblHeader/>
        </w:trPr>
        <w:tc>
          <w:tcPr>
            <w:tcW w:w="3476" w:type="dxa"/>
          </w:tcPr>
          <w:p w14:paraId="77268433" w14:textId="77777777" w:rsidR="005D008A" w:rsidRPr="005D008A" w:rsidRDefault="005D008A" w:rsidP="00FE1BF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D008A">
              <w:rPr>
                <w:rFonts w:cs="Times New Roman"/>
                <w:b/>
                <w:bCs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435" w:type="dxa"/>
          </w:tcPr>
          <w:p w14:paraId="1BAA9AE8" w14:textId="77777777" w:rsidR="005D008A" w:rsidRPr="005D008A" w:rsidRDefault="005D008A" w:rsidP="00FE1BF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D008A">
              <w:rPr>
                <w:rFonts w:cs="Times New Roman"/>
                <w:b/>
                <w:bCs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5D008A" w:rsidRPr="005D008A" w14:paraId="172C61D0" w14:textId="77777777" w:rsidTr="005D008A">
        <w:tc>
          <w:tcPr>
            <w:tcW w:w="3476" w:type="dxa"/>
          </w:tcPr>
          <w:p w14:paraId="1A078588" w14:textId="77777777" w:rsidR="005D008A" w:rsidRPr="005D008A" w:rsidRDefault="005D008A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Указатель напряжения двухполюсный до 1000 В</w:t>
            </w:r>
          </w:p>
        </w:tc>
        <w:tc>
          <w:tcPr>
            <w:tcW w:w="6435" w:type="dxa"/>
          </w:tcPr>
          <w:p w14:paraId="2D9A6549" w14:textId="77777777" w:rsidR="005D008A" w:rsidRPr="005D008A" w:rsidRDefault="005D008A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5D008A">
              <w:rPr>
                <w:rFonts w:cs="Times New Roman"/>
                <w:sz w:val="28"/>
                <w:szCs w:val="28"/>
              </w:rPr>
              <w:t>Проверить работоспособность на токоведущих частях. Допускается использовать для этих целей розетку 220В.</w:t>
            </w:r>
          </w:p>
        </w:tc>
      </w:tr>
      <w:tr w:rsidR="005D008A" w:rsidRPr="005D008A" w14:paraId="2298AF41" w14:textId="77777777" w:rsidTr="005D008A">
        <w:tc>
          <w:tcPr>
            <w:tcW w:w="3476" w:type="dxa"/>
          </w:tcPr>
          <w:p w14:paraId="1CB11632" w14:textId="77777777" w:rsidR="005D008A" w:rsidRPr="005D008A" w:rsidRDefault="005D008A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Токоизмерительные клещи</w:t>
            </w:r>
          </w:p>
        </w:tc>
        <w:tc>
          <w:tcPr>
            <w:tcW w:w="6435" w:type="dxa"/>
          </w:tcPr>
          <w:p w14:paraId="50AD4764" w14:textId="77777777" w:rsidR="005D008A" w:rsidRPr="005D008A" w:rsidRDefault="005D008A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соединительных проводов. Проверить работоспособность прибора путем его включения.</w:t>
            </w:r>
          </w:p>
        </w:tc>
      </w:tr>
      <w:tr w:rsidR="005D008A" w:rsidRPr="005D008A" w14:paraId="078DDF90" w14:textId="77777777" w:rsidTr="005D008A">
        <w:tc>
          <w:tcPr>
            <w:tcW w:w="3476" w:type="dxa"/>
          </w:tcPr>
          <w:p w14:paraId="568827FB" w14:textId="77777777" w:rsidR="005D008A" w:rsidRPr="005D008A" w:rsidRDefault="005D008A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lastRenderedPageBreak/>
              <w:t>Шуруповерт</w:t>
            </w:r>
          </w:p>
        </w:tc>
        <w:tc>
          <w:tcPr>
            <w:tcW w:w="6435" w:type="dxa"/>
          </w:tcPr>
          <w:p w14:paraId="40729A15" w14:textId="77777777" w:rsidR="005D008A" w:rsidRPr="005D008A" w:rsidRDefault="005D008A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прибора. Проверить работоспособность прибора путем его включения.</w:t>
            </w:r>
          </w:p>
        </w:tc>
      </w:tr>
      <w:tr w:rsidR="005D008A" w:rsidRPr="005D008A" w14:paraId="7241D27B" w14:textId="77777777" w:rsidTr="005D008A">
        <w:tc>
          <w:tcPr>
            <w:tcW w:w="3476" w:type="dxa"/>
          </w:tcPr>
          <w:p w14:paraId="68C6592C" w14:textId="77777777" w:rsidR="005D008A" w:rsidRPr="005D008A" w:rsidRDefault="005D008A" w:rsidP="00FE1BF9">
            <w:pPr>
              <w:tabs>
                <w:tab w:val="left" w:pos="1170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Гаечные ключи</w:t>
            </w:r>
          </w:p>
        </w:tc>
        <w:tc>
          <w:tcPr>
            <w:tcW w:w="6435" w:type="dxa"/>
          </w:tcPr>
          <w:p w14:paraId="1C57E03A" w14:textId="77777777" w:rsidR="005D008A" w:rsidRPr="005D008A" w:rsidRDefault="005D008A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инструмента</w:t>
            </w:r>
          </w:p>
        </w:tc>
      </w:tr>
      <w:tr w:rsidR="005D008A" w:rsidRPr="005D008A" w14:paraId="67D9B80C" w14:textId="77777777" w:rsidTr="005D008A">
        <w:tc>
          <w:tcPr>
            <w:tcW w:w="3476" w:type="dxa"/>
          </w:tcPr>
          <w:p w14:paraId="6234A87A" w14:textId="77777777" w:rsidR="005D008A" w:rsidRPr="005D008A" w:rsidRDefault="005D008A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Стриппер</w:t>
            </w:r>
          </w:p>
        </w:tc>
        <w:tc>
          <w:tcPr>
            <w:tcW w:w="6435" w:type="dxa"/>
          </w:tcPr>
          <w:p w14:paraId="19302A76" w14:textId="77777777" w:rsidR="005D008A" w:rsidRPr="005D008A" w:rsidRDefault="005D008A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инструмента</w:t>
            </w:r>
          </w:p>
        </w:tc>
      </w:tr>
      <w:tr w:rsidR="005D008A" w:rsidRPr="005D008A" w14:paraId="5DC096A5" w14:textId="77777777" w:rsidTr="005D008A">
        <w:tc>
          <w:tcPr>
            <w:tcW w:w="3476" w:type="dxa"/>
          </w:tcPr>
          <w:p w14:paraId="267693A1" w14:textId="77777777" w:rsidR="005D008A" w:rsidRPr="005D008A" w:rsidRDefault="005D008A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Нож монтерский</w:t>
            </w:r>
          </w:p>
        </w:tc>
        <w:tc>
          <w:tcPr>
            <w:tcW w:w="6435" w:type="dxa"/>
          </w:tcPr>
          <w:p w14:paraId="2E0A5737" w14:textId="77777777" w:rsidR="005D008A" w:rsidRPr="005D008A" w:rsidRDefault="005D008A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инструмента</w:t>
            </w:r>
          </w:p>
        </w:tc>
      </w:tr>
      <w:tr w:rsidR="005D008A" w:rsidRPr="005D008A" w14:paraId="43140276" w14:textId="77777777" w:rsidTr="005D008A">
        <w:tc>
          <w:tcPr>
            <w:tcW w:w="3476" w:type="dxa"/>
          </w:tcPr>
          <w:p w14:paraId="4DE7AB8C" w14:textId="77777777" w:rsidR="005D008A" w:rsidRPr="005D008A" w:rsidRDefault="005D008A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Комплект ручного изолированного инструмента</w:t>
            </w:r>
          </w:p>
        </w:tc>
        <w:tc>
          <w:tcPr>
            <w:tcW w:w="6435" w:type="dxa"/>
          </w:tcPr>
          <w:p w14:paraId="4BACE683" w14:textId="77777777" w:rsidR="005D008A" w:rsidRPr="005D008A" w:rsidRDefault="005D008A" w:rsidP="00FE1BF9">
            <w:pPr>
              <w:pStyle w:val="afb"/>
              <w:shd w:val="clear" w:color="auto" w:fill="FFFFFF"/>
              <w:spacing w:after="0"/>
              <w:textAlignment w:val="baseline"/>
              <w:rPr>
                <w:rFonts w:cs="Times New Roman"/>
                <w:sz w:val="28"/>
                <w:szCs w:val="28"/>
                <w:lang w:eastAsia="en-US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инструмента, проверить дату испытаний</w:t>
            </w:r>
          </w:p>
        </w:tc>
      </w:tr>
      <w:tr w:rsidR="005D008A" w:rsidRPr="005D008A" w14:paraId="07E037E5" w14:textId="77777777" w:rsidTr="005D008A">
        <w:tc>
          <w:tcPr>
            <w:tcW w:w="3476" w:type="dxa"/>
          </w:tcPr>
          <w:p w14:paraId="71AF3EA8" w14:textId="77777777" w:rsidR="005D008A" w:rsidRPr="005D008A" w:rsidRDefault="005D008A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Лупа</w:t>
            </w:r>
          </w:p>
        </w:tc>
        <w:tc>
          <w:tcPr>
            <w:tcW w:w="6435" w:type="dxa"/>
          </w:tcPr>
          <w:p w14:paraId="6B03B268" w14:textId="77777777" w:rsidR="005D008A" w:rsidRPr="005D008A" w:rsidRDefault="005D008A" w:rsidP="00FE1BF9">
            <w:pPr>
              <w:pStyle w:val="afb"/>
              <w:shd w:val="clear" w:color="auto" w:fill="FFFFFF"/>
              <w:spacing w:after="0"/>
              <w:textAlignment w:val="baseline"/>
              <w:rPr>
                <w:rFonts w:cs="Times New Roman"/>
                <w:sz w:val="28"/>
                <w:szCs w:val="28"/>
                <w:lang w:eastAsia="en-US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инструмента</w:t>
            </w:r>
          </w:p>
        </w:tc>
      </w:tr>
      <w:tr w:rsidR="005D008A" w:rsidRPr="005D008A" w14:paraId="4653EF84" w14:textId="77777777" w:rsidTr="005D008A">
        <w:tc>
          <w:tcPr>
            <w:tcW w:w="3476" w:type="dxa"/>
          </w:tcPr>
          <w:p w14:paraId="3FCD0643" w14:textId="54812B03" w:rsidR="005D008A" w:rsidRPr="005D008A" w:rsidRDefault="005D008A" w:rsidP="00FE1BF9">
            <w:pPr>
              <w:tabs>
                <w:tab w:val="left" w:pos="1080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008A">
              <w:rPr>
                <w:rFonts w:eastAsia="Times New Roman" w:cs="Times New Roman"/>
                <w:sz w:val="28"/>
                <w:szCs w:val="28"/>
              </w:rPr>
              <w:t>Вольтамперфазометр</w:t>
            </w:r>
            <w:proofErr w:type="spellEnd"/>
            <w:r w:rsidRPr="005D008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632EE1">
              <w:rPr>
                <w:rFonts w:eastAsia="Times New Roman" w:cs="Times New Roman"/>
                <w:sz w:val="28"/>
                <w:szCs w:val="28"/>
              </w:rPr>
              <w:t xml:space="preserve">и прибор энергетика многофункциональный </w:t>
            </w:r>
          </w:p>
        </w:tc>
        <w:tc>
          <w:tcPr>
            <w:tcW w:w="6435" w:type="dxa"/>
          </w:tcPr>
          <w:p w14:paraId="3776096A" w14:textId="77777777" w:rsidR="005D008A" w:rsidRPr="005D008A" w:rsidRDefault="005D008A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прибора и соединительных проводов. Проверить работоспособность прибора путем его включения.</w:t>
            </w:r>
          </w:p>
        </w:tc>
      </w:tr>
      <w:tr w:rsidR="005D008A" w:rsidRPr="005D008A" w14:paraId="0E473A15" w14:textId="77777777" w:rsidTr="005D008A">
        <w:tc>
          <w:tcPr>
            <w:tcW w:w="3476" w:type="dxa"/>
          </w:tcPr>
          <w:p w14:paraId="1D1863C9" w14:textId="77777777" w:rsidR="005D008A" w:rsidRPr="005D008A" w:rsidRDefault="005D008A" w:rsidP="00FE1BF9">
            <w:pPr>
              <w:tabs>
                <w:tab w:val="left" w:pos="1095"/>
              </w:tabs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Фонарик</w:t>
            </w:r>
          </w:p>
        </w:tc>
        <w:tc>
          <w:tcPr>
            <w:tcW w:w="6435" w:type="dxa"/>
          </w:tcPr>
          <w:p w14:paraId="4BB8DEC6" w14:textId="77777777" w:rsidR="005D008A" w:rsidRPr="005D008A" w:rsidRDefault="005D008A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прибора. Проверить работоспособность прибора путем его включения.</w:t>
            </w:r>
          </w:p>
        </w:tc>
      </w:tr>
      <w:tr w:rsidR="005D008A" w:rsidRPr="005D008A" w14:paraId="7D11D52C" w14:textId="77777777" w:rsidTr="005D008A">
        <w:tc>
          <w:tcPr>
            <w:tcW w:w="3476" w:type="dxa"/>
          </w:tcPr>
          <w:p w14:paraId="5D8BFD89" w14:textId="77777777" w:rsidR="005D008A" w:rsidRPr="005D008A" w:rsidRDefault="005D008A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6435" w:type="dxa"/>
          </w:tcPr>
          <w:p w14:paraId="5E8A5CAA" w14:textId="77777777" w:rsidR="005D008A" w:rsidRPr="005D008A" w:rsidRDefault="005D008A" w:rsidP="00FE1BF9">
            <w:pPr>
              <w:pStyle w:val="afb"/>
              <w:shd w:val="clear" w:color="auto" w:fill="FFFFFF"/>
              <w:spacing w:after="0"/>
              <w:textAlignment w:val="baseline"/>
              <w:rPr>
                <w:rFonts w:cs="Times New Roman"/>
                <w:sz w:val="28"/>
                <w:szCs w:val="28"/>
                <w:lang w:eastAsia="en-US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прибора. Проверить работоспособность прибора путем его включения.</w:t>
            </w:r>
          </w:p>
        </w:tc>
      </w:tr>
      <w:tr w:rsidR="005D008A" w:rsidRPr="005D008A" w14:paraId="72307BB9" w14:textId="77777777" w:rsidTr="005D008A">
        <w:tc>
          <w:tcPr>
            <w:tcW w:w="3476" w:type="dxa"/>
          </w:tcPr>
          <w:p w14:paraId="302BFD02" w14:textId="77777777" w:rsidR="005D008A" w:rsidRPr="005D008A" w:rsidRDefault="005D008A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6435" w:type="dxa"/>
          </w:tcPr>
          <w:p w14:paraId="229611AA" w14:textId="77777777" w:rsidR="005D008A" w:rsidRPr="005D008A" w:rsidRDefault="005D008A" w:rsidP="00FE1BF9">
            <w:pPr>
              <w:pStyle w:val="afb"/>
              <w:shd w:val="clear" w:color="auto" w:fill="FFFFFF"/>
              <w:spacing w:after="0"/>
              <w:textAlignment w:val="baseline"/>
              <w:rPr>
                <w:rFonts w:cs="Times New Roman"/>
                <w:sz w:val="28"/>
                <w:szCs w:val="28"/>
                <w:lang w:eastAsia="en-US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прибора. Проверить работоспособность прибора путем его включения.</w:t>
            </w:r>
          </w:p>
        </w:tc>
      </w:tr>
      <w:tr w:rsidR="005D008A" w:rsidRPr="005D008A" w14:paraId="4954C947" w14:textId="77777777" w:rsidTr="005D008A">
        <w:tc>
          <w:tcPr>
            <w:tcW w:w="3476" w:type="dxa"/>
          </w:tcPr>
          <w:p w14:paraId="490767A9" w14:textId="77777777" w:rsidR="005D008A" w:rsidRPr="005D008A" w:rsidRDefault="005D008A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Неодимовый магнит</w:t>
            </w:r>
          </w:p>
        </w:tc>
        <w:tc>
          <w:tcPr>
            <w:tcW w:w="6435" w:type="dxa"/>
          </w:tcPr>
          <w:p w14:paraId="3C20972F" w14:textId="77777777" w:rsidR="005D008A" w:rsidRPr="005D008A" w:rsidRDefault="005D008A" w:rsidP="00FE1BF9">
            <w:pPr>
              <w:pStyle w:val="afb"/>
              <w:shd w:val="clear" w:color="auto" w:fill="FFFFFF"/>
              <w:spacing w:after="0"/>
              <w:textAlignment w:val="baseline"/>
              <w:rPr>
                <w:rFonts w:cs="Times New Roman"/>
                <w:sz w:val="28"/>
                <w:szCs w:val="28"/>
                <w:lang w:eastAsia="en-US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</w:t>
            </w:r>
          </w:p>
        </w:tc>
      </w:tr>
      <w:tr w:rsidR="005D008A" w:rsidRPr="005D008A" w14:paraId="3CE4F484" w14:textId="77777777" w:rsidTr="005D008A">
        <w:tc>
          <w:tcPr>
            <w:tcW w:w="3476" w:type="dxa"/>
          </w:tcPr>
          <w:p w14:paraId="54BA9583" w14:textId="77777777" w:rsidR="005D008A" w:rsidRPr="005D008A" w:rsidRDefault="005D008A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Обжимка наконечников</w:t>
            </w:r>
          </w:p>
        </w:tc>
        <w:tc>
          <w:tcPr>
            <w:tcW w:w="6435" w:type="dxa"/>
          </w:tcPr>
          <w:p w14:paraId="1506B1F0" w14:textId="77777777" w:rsidR="005D008A" w:rsidRPr="005D008A" w:rsidRDefault="005D008A" w:rsidP="00FE1BF9">
            <w:pPr>
              <w:pStyle w:val="afb"/>
              <w:shd w:val="clear" w:color="auto" w:fill="FFFFFF"/>
              <w:spacing w:after="0"/>
              <w:textAlignment w:val="baseline"/>
              <w:rPr>
                <w:rFonts w:cs="Times New Roman"/>
                <w:sz w:val="28"/>
                <w:szCs w:val="28"/>
                <w:lang w:eastAsia="en-US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инструмента</w:t>
            </w:r>
          </w:p>
        </w:tc>
      </w:tr>
      <w:tr w:rsidR="005D008A" w:rsidRPr="005D008A" w14:paraId="76BBB967" w14:textId="77777777" w:rsidTr="005D008A">
        <w:tc>
          <w:tcPr>
            <w:tcW w:w="3476" w:type="dxa"/>
          </w:tcPr>
          <w:p w14:paraId="36854BDD" w14:textId="77777777" w:rsidR="005D008A" w:rsidRPr="005D008A" w:rsidRDefault="005D008A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6435" w:type="dxa"/>
          </w:tcPr>
          <w:p w14:paraId="32BC23F2" w14:textId="77777777" w:rsidR="005D008A" w:rsidRPr="005D008A" w:rsidRDefault="005D008A" w:rsidP="00FE1BF9">
            <w:pPr>
              <w:pStyle w:val="afb"/>
              <w:shd w:val="clear" w:color="auto" w:fill="FFFFFF"/>
              <w:spacing w:after="0"/>
              <w:textAlignment w:val="baseline"/>
              <w:rPr>
                <w:rFonts w:cs="Times New Roman"/>
                <w:sz w:val="28"/>
                <w:szCs w:val="28"/>
                <w:lang w:eastAsia="en-US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прибора. Проверить работоспособность прибора путем его включения.</w:t>
            </w:r>
          </w:p>
        </w:tc>
      </w:tr>
      <w:tr w:rsidR="005D008A" w:rsidRPr="005D008A" w14:paraId="1956B13C" w14:textId="77777777" w:rsidTr="005D008A">
        <w:tc>
          <w:tcPr>
            <w:tcW w:w="3476" w:type="dxa"/>
          </w:tcPr>
          <w:p w14:paraId="1AC490FE" w14:textId="77777777" w:rsidR="005D008A" w:rsidRPr="005D008A" w:rsidRDefault="005D008A" w:rsidP="00FE1BF9">
            <w:pPr>
              <w:tabs>
                <w:tab w:val="left" w:pos="1080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 xml:space="preserve">Интерфейсные кабели, </w:t>
            </w:r>
            <w:proofErr w:type="spellStart"/>
            <w:r w:rsidRPr="005D008A">
              <w:rPr>
                <w:rFonts w:eastAsia="Times New Roman" w:cs="Times New Roman"/>
                <w:sz w:val="28"/>
                <w:szCs w:val="28"/>
              </w:rPr>
              <w:t>Оптопорт</w:t>
            </w:r>
            <w:proofErr w:type="spellEnd"/>
          </w:p>
        </w:tc>
        <w:tc>
          <w:tcPr>
            <w:tcW w:w="6435" w:type="dxa"/>
          </w:tcPr>
          <w:p w14:paraId="01FB1B65" w14:textId="77777777" w:rsidR="005D008A" w:rsidRPr="005D008A" w:rsidRDefault="005D008A" w:rsidP="00FE1BF9">
            <w:pPr>
              <w:pStyle w:val="afb"/>
              <w:shd w:val="clear" w:color="auto" w:fill="FFFFFF"/>
              <w:spacing w:after="0"/>
              <w:textAlignment w:val="baseline"/>
              <w:rPr>
                <w:rFonts w:cs="Times New Roman"/>
                <w:sz w:val="28"/>
                <w:szCs w:val="28"/>
                <w:lang w:eastAsia="en-US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проводов.</w:t>
            </w:r>
          </w:p>
        </w:tc>
      </w:tr>
      <w:tr w:rsidR="005D008A" w:rsidRPr="005D008A" w14:paraId="1C9F7A9C" w14:textId="77777777" w:rsidTr="005D008A">
        <w:tc>
          <w:tcPr>
            <w:tcW w:w="3476" w:type="dxa"/>
          </w:tcPr>
          <w:p w14:paraId="2B01FBD5" w14:textId="77777777" w:rsidR="005D008A" w:rsidRPr="005D008A" w:rsidRDefault="005D008A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5D008A">
              <w:rPr>
                <w:rFonts w:eastAsia="Times New Roman" w:cs="Times New Roman"/>
                <w:sz w:val="28"/>
                <w:szCs w:val="28"/>
              </w:rPr>
              <w:t>Мультиметр</w:t>
            </w:r>
          </w:p>
        </w:tc>
        <w:tc>
          <w:tcPr>
            <w:tcW w:w="6435" w:type="dxa"/>
          </w:tcPr>
          <w:p w14:paraId="0626E157" w14:textId="77777777" w:rsidR="005D008A" w:rsidRPr="005D008A" w:rsidRDefault="005D008A" w:rsidP="00FE1BF9">
            <w:pPr>
              <w:pStyle w:val="afb"/>
              <w:shd w:val="clear" w:color="auto" w:fill="FFFFFF"/>
              <w:spacing w:after="0"/>
              <w:textAlignment w:val="baseline"/>
              <w:rPr>
                <w:rFonts w:cs="Times New Roman"/>
                <w:sz w:val="28"/>
                <w:szCs w:val="28"/>
                <w:lang w:eastAsia="en-US"/>
              </w:rPr>
            </w:pPr>
            <w:r w:rsidRPr="005D008A">
              <w:rPr>
                <w:rFonts w:cs="Times New Roman"/>
                <w:sz w:val="28"/>
                <w:szCs w:val="28"/>
              </w:rPr>
              <w:t>Визуально проверить целостность прибора и соединительных проводов. Проверить работоспособность прибора путем его включения.</w:t>
            </w:r>
          </w:p>
        </w:tc>
      </w:tr>
    </w:tbl>
    <w:p w14:paraId="2D2F6866" w14:textId="77777777" w:rsidR="005D008A" w:rsidRPr="005D008A" w:rsidRDefault="005D008A" w:rsidP="005D008A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EC4CD9A" w14:textId="39A52BEF" w:rsidR="005D008A" w:rsidRPr="005D008A" w:rsidRDefault="005D008A" w:rsidP="005D008A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2F10376E" w14:textId="77777777" w:rsidR="005D008A" w:rsidRPr="005D008A" w:rsidRDefault="005D008A" w:rsidP="005D008A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lastRenderedPageBreak/>
        <w:t>Привести в порядок рабочую специальную одежду и обувь: застегнуть обшлага рукавов, заправить одежду и застегнуть ее на все пуговицы, надеть защитную каску, подготовить рукавицы (перчатки) и защитные очки.</w:t>
      </w:r>
    </w:p>
    <w:p w14:paraId="1C2B506E" w14:textId="76DAD64A" w:rsidR="005D008A" w:rsidRPr="005D008A" w:rsidRDefault="005D008A" w:rsidP="005D008A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Ежедневно, перед началом выполнения конкурсного задания, в процессе подготовки рабочего места:</w:t>
      </w:r>
    </w:p>
    <w:p w14:paraId="44B93ACB" w14:textId="77777777" w:rsidR="005D008A" w:rsidRPr="005D008A" w:rsidRDefault="005D008A" w:rsidP="005D008A">
      <w:pPr>
        <w:pStyle w:val="af6"/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11114561" w14:textId="77777777" w:rsidR="005D008A" w:rsidRPr="005D008A" w:rsidRDefault="005D008A" w:rsidP="005D008A">
      <w:pPr>
        <w:pStyle w:val="af6"/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- убедиться в достаточности освещенности;</w:t>
      </w:r>
    </w:p>
    <w:p w14:paraId="5E9F6697" w14:textId="77777777" w:rsidR="005D008A" w:rsidRPr="005D008A" w:rsidRDefault="005D008A" w:rsidP="005D008A">
      <w:pPr>
        <w:pStyle w:val="af6"/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242F8C38" w14:textId="77777777" w:rsidR="005D008A" w:rsidRPr="005D008A" w:rsidRDefault="005D008A" w:rsidP="005D008A">
      <w:pPr>
        <w:pStyle w:val="af6"/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F230042" w14:textId="445BD2B0" w:rsidR="005D008A" w:rsidRPr="005D008A" w:rsidRDefault="005D008A" w:rsidP="005D008A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D008A">
        <w:rPr>
          <w:rFonts w:cs="Times New Roman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86616B4" w14:textId="77777777" w:rsidR="0038371F" w:rsidRDefault="005D008A" w:rsidP="0038371F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asciiTheme="minorHAnsi" w:hAnsiTheme="minorHAnsi"/>
        </w:rPr>
      </w:pPr>
      <w:r w:rsidRPr="005D008A">
        <w:rPr>
          <w:rFonts w:cs="Times New Roman"/>
          <w:sz w:val="28"/>
          <w:szCs w:val="28"/>
        </w:rP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</w:t>
      </w:r>
      <w:r w:rsidRPr="005D008A">
        <w:rPr>
          <w:rFonts w:asciiTheme="minorHAnsi" w:hAnsiTheme="minorHAnsi"/>
        </w:rPr>
        <w:t>.</w:t>
      </w:r>
    </w:p>
    <w:p w14:paraId="4AB31B0B" w14:textId="77777777" w:rsidR="0038371F" w:rsidRDefault="00A8114D" w:rsidP="0038371F">
      <w:pPr>
        <w:pStyle w:val="af6"/>
        <w:spacing w:before="120" w:after="12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8371F">
        <w:rPr>
          <w:rFonts w:eastAsia="Times New Roman" w:cs="Times New Roman"/>
          <w:color w:val="000000"/>
          <w:sz w:val="28"/>
          <w:szCs w:val="28"/>
        </w:rPr>
        <w:t>Конкурсант не должны приступать к работе при следующих нарушениях требований безопасности:</w:t>
      </w:r>
    </w:p>
    <w:p w14:paraId="25FA260A" w14:textId="12B1D132" w:rsidR="001A206B" w:rsidRPr="0038371F" w:rsidRDefault="00A8114D" w:rsidP="0038371F">
      <w:pPr>
        <w:pStyle w:val="af6"/>
        <w:spacing w:before="120" w:after="120" w:line="360" w:lineRule="auto"/>
        <w:jc w:val="both"/>
        <w:rPr>
          <w:rFonts w:asciiTheme="minorHAnsi" w:hAnsiTheme="minorHAnsi"/>
        </w:rPr>
      </w:pPr>
      <w:r>
        <w:rPr>
          <w:rFonts w:eastAsia="Times New Roman" w:cs="Times New Roman"/>
          <w:color w:val="000000"/>
          <w:sz w:val="28"/>
          <w:szCs w:val="28"/>
        </w:rPr>
        <w:t>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010595F7" w14:textId="1B2EF230" w:rsidR="0038371F" w:rsidRPr="0038371F" w:rsidRDefault="00A8114D" w:rsidP="003837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  <w:bookmarkStart w:id="6" w:name="_heading=h.1t3h5sf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6896"/>
      </w:tblGrid>
      <w:tr w:rsidR="0038371F" w:rsidRPr="00C43FEB" w14:paraId="0B7341F7" w14:textId="77777777" w:rsidTr="00632EE1">
        <w:trPr>
          <w:tblHeader/>
        </w:trPr>
        <w:tc>
          <w:tcPr>
            <w:tcW w:w="3015" w:type="dxa"/>
            <w:shd w:val="clear" w:color="auto" w:fill="auto"/>
            <w:vAlign w:val="center"/>
          </w:tcPr>
          <w:p w14:paraId="4E56CF4A" w14:textId="77777777" w:rsidR="0038371F" w:rsidRPr="0038371F" w:rsidRDefault="0038371F" w:rsidP="00FE1BF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8371F">
              <w:rPr>
                <w:rFonts w:eastAsia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6896" w:type="dxa"/>
            <w:shd w:val="clear" w:color="auto" w:fill="auto"/>
            <w:vAlign w:val="center"/>
          </w:tcPr>
          <w:p w14:paraId="735B2A50" w14:textId="77777777" w:rsidR="0038371F" w:rsidRPr="0038371F" w:rsidRDefault="0038371F" w:rsidP="00FE1BF9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38371F">
              <w:rPr>
                <w:rFonts w:eastAsia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38371F" w:rsidRPr="00C43FEB" w14:paraId="14F57B34" w14:textId="77777777" w:rsidTr="00632EE1">
        <w:tc>
          <w:tcPr>
            <w:tcW w:w="3015" w:type="dxa"/>
            <w:shd w:val="clear" w:color="auto" w:fill="auto"/>
          </w:tcPr>
          <w:p w14:paraId="5FB660CB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6896" w:type="dxa"/>
            <w:shd w:val="clear" w:color="auto" w:fill="auto"/>
          </w:tcPr>
          <w:p w14:paraId="72AC3132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Во время работы:</w:t>
            </w:r>
          </w:p>
          <w:p w14:paraId="52E8491E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необходимо аккуратно обращаться с проводами;</w:t>
            </w:r>
          </w:p>
          <w:p w14:paraId="3449EAC7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запрещается работать с неисправным компьютером/ноутбуком;</w:t>
            </w:r>
          </w:p>
          <w:p w14:paraId="12C096D5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14:paraId="0167283F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6D7FBB92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584BC334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6D8C8E4F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443C6688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5C3656BB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2BAA3048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нельзя производить самостоятельно вскрытие и ремонт оборудования;</w:t>
            </w:r>
          </w:p>
          <w:p w14:paraId="3B0B06A9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14:paraId="310B4654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>- запрещается загромождение верхних панелей устройств бумагами и посторонними предметами.</w:t>
            </w:r>
          </w:p>
          <w:p w14:paraId="1895E28E" w14:textId="77777777" w:rsidR="0038371F" w:rsidRPr="0038371F" w:rsidRDefault="0038371F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самостоятельно разбирать и ремонтировать (устранять неисправности) оборудование.</w:t>
            </w:r>
          </w:p>
          <w:p w14:paraId="4921137D" w14:textId="77777777" w:rsidR="0038371F" w:rsidRPr="0038371F" w:rsidRDefault="0038371F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е</w:t>
            </w:r>
            <w:r w:rsidRPr="0038371F">
              <w:rPr>
                <w:rFonts w:cs="Times New Roman"/>
                <w:sz w:val="28"/>
                <w:szCs w:val="28"/>
              </w:rPr>
              <w:t xml:space="preserve">сли во время работы обнаружится неисправность оборудования или работающий с ним почувствует действие электрического тока, перегрев частей и деталей или запах тлеющей изоляции </w:t>
            </w:r>
            <w:r w:rsidRPr="0038371F">
              <w:rPr>
                <w:rFonts w:cs="Times New Roman"/>
                <w:sz w:val="28"/>
                <w:szCs w:val="28"/>
              </w:rPr>
              <w:lastRenderedPageBreak/>
              <w:t>электропроводки, работа должна быть немедленно прекращена.</w:t>
            </w:r>
          </w:p>
        </w:tc>
      </w:tr>
      <w:tr w:rsidR="0038371F" w:rsidRPr="00C43FEB" w14:paraId="67B1063E" w14:textId="77777777" w:rsidTr="00632EE1">
        <w:tc>
          <w:tcPr>
            <w:tcW w:w="3015" w:type="dxa"/>
            <w:shd w:val="clear" w:color="auto" w:fill="auto"/>
          </w:tcPr>
          <w:p w14:paraId="288436BC" w14:textId="1C6C87C2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lastRenderedPageBreak/>
              <w:t>Режущий инструмент, гаечные ключи, стриппер, обжимка наконечников</w:t>
            </w:r>
          </w:p>
        </w:tc>
        <w:tc>
          <w:tcPr>
            <w:tcW w:w="6896" w:type="dxa"/>
            <w:shd w:val="clear" w:color="auto" w:fill="auto"/>
          </w:tcPr>
          <w:p w14:paraId="733490A7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необходимо соблюдать меры осторожности с исключением опасных движений во избежание получения травм. </w:t>
            </w:r>
          </w:p>
          <w:p w14:paraId="429E4603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работа должна выполняться только в защитных перчатках. </w:t>
            </w:r>
          </w:p>
          <w:p w14:paraId="4CF0B7EE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производить разделку кабеля на участках тела.</w:t>
            </w:r>
          </w:p>
          <w:p w14:paraId="49CD134E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использовать инструмент не по назначению.</w:t>
            </w:r>
          </w:p>
          <w:p w14:paraId="5B6A7C1D" w14:textId="77777777" w:rsidR="0038371F" w:rsidRPr="0038371F" w:rsidRDefault="0038371F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запрещается </w:t>
            </w:r>
            <w:r w:rsidRPr="0038371F">
              <w:rPr>
                <w:rFonts w:cs="Times New Roman"/>
                <w:sz w:val="28"/>
                <w:szCs w:val="28"/>
              </w:rPr>
              <w:t>применение подкладок при зазоре между плоскостями губок гаечных ключей и головками болтов или гаек.</w:t>
            </w:r>
          </w:p>
          <w:p w14:paraId="1F284A24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 xml:space="preserve">- </w:t>
            </w:r>
            <w:r w:rsidRPr="0038371F">
              <w:rPr>
                <w:rFonts w:eastAsia="Times New Roman" w:cs="Times New Roman"/>
                <w:sz w:val="28"/>
                <w:szCs w:val="28"/>
              </w:rPr>
              <w:t xml:space="preserve">запрещается </w:t>
            </w:r>
            <w:r w:rsidRPr="0038371F">
              <w:rPr>
                <w:rFonts w:cs="Times New Roman"/>
                <w:sz w:val="28"/>
                <w:szCs w:val="28"/>
              </w:rPr>
              <w:t>применение дополнительных рычагов для увеличения усилия затяжки.</w:t>
            </w:r>
          </w:p>
        </w:tc>
      </w:tr>
      <w:tr w:rsidR="0038371F" w:rsidRPr="00C43FEB" w14:paraId="6C19F85B" w14:textId="77777777" w:rsidTr="00632EE1">
        <w:tc>
          <w:tcPr>
            <w:tcW w:w="3015" w:type="dxa"/>
            <w:shd w:val="clear" w:color="auto" w:fill="auto"/>
          </w:tcPr>
          <w:p w14:paraId="0D495716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Комплект ручного изолированного инструмента</w:t>
            </w:r>
          </w:p>
        </w:tc>
        <w:tc>
          <w:tcPr>
            <w:tcW w:w="6896" w:type="dxa"/>
            <w:shd w:val="clear" w:color="auto" w:fill="auto"/>
          </w:tcPr>
          <w:p w14:paraId="519EA34F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необходимо соблюдать меры осторожности с исключением опасных движений во избежание получения травм. </w:t>
            </w:r>
          </w:p>
          <w:p w14:paraId="4DEBF001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работа должна выполняться только в защитных перчатках. </w:t>
            </w:r>
          </w:p>
          <w:p w14:paraId="6F633C30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при работе в электроустановке под напряжением работа должна выполняться только в диэлектрических перчатках.</w:t>
            </w:r>
          </w:p>
          <w:p w14:paraId="4D08F7DF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использовать инструмент не по назначению.</w:t>
            </w:r>
          </w:p>
        </w:tc>
      </w:tr>
      <w:tr w:rsidR="0038371F" w:rsidRPr="00C43FEB" w14:paraId="04AF5F48" w14:textId="77777777" w:rsidTr="00632EE1">
        <w:tc>
          <w:tcPr>
            <w:tcW w:w="3015" w:type="dxa"/>
            <w:shd w:val="clear" w:color="auto" w:fill="auto"/>
          </w:tcPr>
          <w:p w14:paraId="3B59ACCD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Шуруповерт</w:t>
            </w:r>
          </w:p>
        </w:tc>
        <w:tc>
          <w:tcPr>
            <w:tcW w:w="6896" w:type="dxa"/>
            <w:shd w:val="clear" w:color="auto" w:fill="auto"/>
          </w:tcPr>
          <w:p w14:paraId="7A47041E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необходимо соблюдать меры осторожности с исключением опасных движений во избежание получения травм. </w:t>
            </w:r>
          </w:p>
          <w:p w14:paraId="1175F653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работа должна выполняться только в защитных перчатках.</w:t>
            </w:r>
          </w:p>
          <w:p w14:paraId="757798B4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использовать инструмент не по назначению.</w:t>
            </w:r>
          </w:p>
          <w:p w14:paraId="082A2755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выполнять работы на не закрепленном предмете.</w:t>
            </w:r>
          </w:p>
          <w:p w14:paraId="543397C2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запрещается </w:t>
            </w:r>
            <w:r w:rsidRPr="0038371F">
              <w:rPr>
                <w:rFonts w:cs="Times New Roman"/>
                <w:sz w:val="28"/>
                <w:szCs w:val="28"/>
              </w:rPr>
              <w:t xml:space="preserve">касаться руками вращающегося рабочего органа </w:t>
            </w:r>
            <w:r w:rsidRPr="0038371F">
              <w:rPr>
                <w:rFonts w:eastAsia="Times New Roman" w:cs="Times New Roman"/>
                <w:sz w:val="28"/>
                <w:szCs w:val="28"/>
              </w:rPr>
              <w:t>шуруповерта</w:t>
            </w:r>
            <w:r w:rsidRPr="0038371F">
              <w:rPr>
                <w:rFonts w:cs="Times New Roman"/>
                <w:sz w:val="28"/>
                <w:szCs w:val="28"/>
              </w:rPr>
              <w:t>.</w:t>
            </w:r>
            <w:r w:rsidRPr="0038371F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14:paraId="5A51C9F0" w14:textId="77777777" w:rsidR="0038371F" w:rsidRPr="0038371F" w:rsidRDefault="0038371F" w:rsidP="00FE1BF9">
            <w:pPr>
              <w:jc w:val="both"/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самостоятельно разбирать и ремонтировать (устранять неисправности) оборудование</w:t>
            </w:r>
          </w:p>
          <w:p w14:paraId="0EBCDB93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cs="Times New Roman"/>
                <w:sz w:val="28"/>
                <w:szCs w:val="28"/>
              </w:rPr>
              <w:t xml:space="preserve">- запрещается применять рычаг для нажима на работающий </w:t>
            </w:r>
            <w:r w:rsidRPr="0038371F">
              <w:rPr>
                <w:rFonts w:eastAsia="Times New Roman" w:cs="Times New Roman"/>
                <w:sz w:val="28"/>
                <w:szCs w:val="28"/>
              </w:rPr>
              <w:t>шуруповерт.</w:t>
            </w:r>
          </w:p>
          <w:p w14:paraId="7E4052A4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lastRenderedPageBreak/>
              <w:t>- е</w:t>
            </w:r>
            <w:r w:rsidRPr="0038371F">
              <w:rPr>
                <w:rFonts w:cs="Times New Roman"/>
                <w:sz w:val="28"/>
                <w:szCs w:val="28"/>
              </w:rPr>
              <w:t>сли во время работы обнаружится неисправность оборудования или работающий с ним почувствует действие электрического тока, перегрев частей и деталей или запах тлеющей изоляции электропроводки, работа должна быть немедленно прекращена, а оборудование должно быть сдано для проверки и ремонта.</w:t>
            </w:r>
          </w:p>
        </w:tc>
      </w:tr>
      <w:tr w:rsidR="0038371F" w:rsidRPr="00C43FEB" w14:paraId="31259888" w14:textId="77777777" w:rsidTr="00632EE1">
        <w:tc>
          <w:tcPr>
            <w:tcW w:w="3015" w:type="dxa"/>
            <w:shd w:val="clear" w:color="auto" w:fill="auto"/>
          </w:tcPr>
          <w:p w14:paraId="56E710D1" w14:textId="6AC693C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Фонарик, калькулятор, секундомер, интерфейсные кабели, </w:t>
            </w:r>
            <w:proofErr w:type="spellStart"/>
            <w:r w:rsidRPr="0038371F">
              <w:rPr>
                <w:rFonts w:eastAsia="Times New Roman" w:cs="Times New Roman"/>
                <w:sz w:val="28"/>
                <w:szCs w:val="28"/>
              </w:rPr>
              <w:t>Оптопорт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6896" w:type="dxa"/>
            <w:shd w:val="clear" w:color="auto" w:fill="auto"/>
          </w:tcPr>
          <w:p w14:paraId="797CFC96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необходимо соблюдать меры осторожности с исключением контакта с токоведущими частями электроустановки.</w:t>
            </w:r>
          </w:p>
          <w:p w14:paraId="4AF2FE74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использовать оборудование не по назначению.</w:t>
            </w:r>
          </w:p>
          <w:p w14:paraId="67187AA2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самостоятельно разбирать и ремонтировать (устранять неисправности) оборудование.</w:t>
            </w:r>
          </w:p>
        </w:tc>
      </w:tr>
      <w:tr w:rsidR="0038371F" w:rsidRPr="00C43FEB" w14:paraId="14491AA0" w14:textId="77777777" w:rsidTr="00632EE1">
        <w:tc>
          <w:tcPr>
            <w:tcW w:w="3015" w:type="dxa"/>
            <w:shd w:val="clear" w:color="auto" w:fill="auto"/>
          </w:tcPr>
          <w:p w14:paraId="0A5960AB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Неодимовый магнит</w:t>
            </w:r>
          </w:p>
        </w:tc>
        <w:tc>
          <w:tcPr>
            <w:tcW w:w="6896" w:type="dxa"/>
            <w:shd w:val="clear" w:color="auto" w:fill="auto"/>
          </w:tcPr>
          <w:p w14:paraId="21DE29A2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необходимо соблюдать меры осторожности с исключением контакта с токоведущими частями электроустановки. </w:t>
            </w:r>
          </w:p>
          <w:p w14:paraId="62EFF774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работа должна выполняться только в защитных перчатках. </w:t>
            </w:r>
          </w:p>
          <w:p w14:paraId="2AF5018C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при работе в электроустановке под напряжением работа должна выполняться только в диэлектрических перчатках.</w:t>
            </w:r>
          </w:p>
        </w:tc>
      </w:tr>
      <w:tr w:rsidR="0038371F" w:rsidRPr="00C43FEB" w14:paraId="00622329" w14:textId="77777777" w:rsidTr="00632EE1">
        <w:tc>
          <w:tcPr>
            <w:tcW w:w="3015" w:type="dxa"/>
            <w:shd w:val="clear" w:color="auto" w:fill="auto"/>
          </w:tcPr>
          <w:p w14:paraId="538F1988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Мультиметр</w:t>
            </w:r>
          </w:p>
        </w:tc>
        <w:tc>
          <w:tcPr>
            <w:tcW w:w="6896" w:type="dxa"/>
            <w:shd w:val="clear" w:color="auto" w:fill="auto"/>
          </w:tcPr>
          <w:p w14:paraId="33D35318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необходимо соблюдать меры осторожности с исключением контакта с токоведущими частями электроустановки. </w:t>
            </w:r>
          </w:p>
          <w:p w14:paraId="4D278DA5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при работе в электроустановке под напряжением работа должна выполняться только в диэлектрических перчатках.</w:t>
            </w:r>
          </w:p>
          <w:p w14:paraId="0171C930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самостоятельно разбирать и ремонтировать (устранять неисправности) оборудование.</w:t>
            </w:r>
          </w:p>
          <w:p w14:paraId="053FEC8A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е</w:t>
            </w:r>
            <w:r w:rsidRPr="0038371F">
              <w:rPr>
                <w:rFonts w:cs="Times New Roman"/>
                <w:sz w:val="28"/>
                <w:szCs w:val="28"/>
              </w:rPr>
              <w:t>сли во время работы обнаружится неисправность оборудования или работающий с ним почувствует действие электрического тока, перегрев частей и деталей или запах тлеющей изоляции электропроводки, работа должна быть немедленно прекращена, а оборудование должно быть сдано для проверки и ремонта.</w:t>
            </w:r>
          </w:p>
        </w:tc>
      </w:tr>
      <w:tr w:rsidR="0038371F" w:rsidRPr="00C43FEB" w14:paraId="588E5273" w14:textId="77777777" w:rsidTr="00632EE1">
        <w:tc>
          <w:tcPr>
            <w:tcW w:w="3015" w:type="dxa"/>
            <w:shd w:val="clear" w:color="auto" w:fill="auto"/>
          </w:tcPr>
          <w:p w14:paraId="7547EA72" w14:textId="77777777" w:rsidR="0038371F" w:rsidRPr="0038371F" w:rsidRDefault="0038371F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Указатель напряжения двухполюсный до 1000 В</w:t>
            </w:r>
          </w:p>
        </w:tc>
        <w:tc>
          <w:tcPr>
            <w:tcW w:w="6896" w:type="dxa"/>
            <w:shd w:val="clear" w:color="auto" w:fill="auto"/>
          </w:tcPr>
          <w:p w14:paraId="62FA0841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необходимо соблюдать меры осторожности с исключением контакта с токоведущими частями электроустановки. </w:t>
            </w:r>
          </w:p>
          <w:p w14:paraId="2D1B94BC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lastRenderedPageBreak/>
              <w:t>- при работе в электроустановке под напряжением работа должна выполняться только в диэлектрических перчатках.</w:t>
            </w:r>
          </w:p>
          <w:p w14:paraId="1625B216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самостоятельно разбирать и ремонтировать (устранять неисправности) оборудование.</w:t>
            </w:r>
          </w:p>
          <w:p w14:paraId="3F2DBBE7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е</w:t>
            </w:r>
            <w:r w:rsidRPr="0038371F">
              <w:rPr>
                <w:rFonts w:cs="Times New Roman"/>
                <w:sz w:val="28"/>
                <w:szCs w:val="28"/>
              </w:rPr>
              <w:t>сли во время работы обнаружится неисправность оборудования или работающий с ним почувствует действие электрического тока, перегрев частей и деталей или запах тлеющей изоляции электропроводки, работа должна быть немедленно прекращена, а оборудование должно быть сдано для проверки и ремонта.</w:t>
            </w:r>
          </w:p>
        </w:tc>
      </w:tr>
      <w:tr w:rsidR="0038371F" w:rsidRPr="00C43FEB" w14:paraId="350B4756" w14:textId="77777777" w:rsidTr="00632EE1">
        <w:tc>
          <w:tcPr>
            <w:tcW w:w="3015" w:type="dxa"/>
            <w:shd w:val="clear" w:color="auto" w:fill="auto"/>
          </w:tcPr>
          <w:p w14:paraId="66FDF532" w14:textId="77777777" w:rsidR="0038371F" w:rsidRPr="0038371F" w:rsidRDefault="0038371F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lastRenderedPageBreak/>
              <w:t>Токоизмерительные клещи</w:t>
            </w:r>
          </w:p>
        </w:tc>
        <w:tc>
          <w:tcPr>
            <w:tcW w:w="6896" w:type="dxa"/>
            <w:shd w:val="clear" w:color="auto" w:fill="auto"/>
          </w:tcPr>
          <w:p w14:paraId="37B45CD3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необходимо соблюдать меры осторожности с исключением контакта с токоведущими частями электроустановки. </w:t>
            </w:r>
          </w:p>
          <w:p w14:paraId="1D59E671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при работе в электроустановке под напряжением работа должна выполняться только в диэлектрических перчатках.</w:t>
            </w:r>
          </w:p>
          <w:p w14:paraId="1CEA4416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самостоятельно разбирать и ремонтировать (устранять неисправности) оборудование.</w:t>
            </w:r>
          </w:p>
          <w:p w14:paraId="6242BAF6" w14:textId="77777777" w:rsidR="0038371F" w:rsidRPr="0038371F" w:rsidRDefault="0038371F" w:rsidP="00FE1BF9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е</w:t>
            </w:r>
            <w:r w:rsidRPr="0038371F">
              <w:rPr>
                <w:rFonts w:cs="Times New Roman"/>
                <w:sz w:val="28"/>
                <w:szCs w:val="28"/>
              </w:rPr>
              <w:t>сли во время работы обнаружится неисправность оборудования или работающий с ним почувствует действие электрического тока, перегрев частей и деталей или запах тлеющей изоляции электропроводки, работа должна быть немедленно прекращена, а оборудование должно быть сдано для проверки и ремонта.</w:t>
            </w:r>
          </w:p>
        </w:tc>
      </w:tr>
      <w:tr w:rsidR="0038371F" w:rsidRPr="00C43FEB" w14:paraId="44EA7A8F" w14:textId="77777777" w:rsidTr="00632EE1">
        <w:tc>
          <w:tcPr>
            <w:tcW w:w="3015" w:type="dxa"/>
            <w:shd w:val="clear" w:color="auto" w:fill="auto"/>
          </w:tcPr>
          <w:p w14:paraId="0CBC6B2A" w14:textId="04A5DB1F" w:rsidR="0038371F" w:rsidRPr="0038371F" w:rsidRDefault="00632EE1" w:rsidP="00FE1BF9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5D008A">
              <w:rPr>
                <w:rFonts w:eastAsia="Times New Roman" w:cs="Times New Roman"/>
                <w:sz w:val="28"/>
                <w:szCs w:val="28"/>
              </w:rPr>
              <w:t>Вольтамперфазометр</w:t>
            </w:r>
            <w:proofErr w:type="spellEnd"/>
            <w:r w:rsidRPr="005D008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и прибор энергетика многофункциональный</w:t>
            </w:r>
          </w:p>
        </w:tc>
        <w:tc>
          <w:tcPr>
            <w:tcW w:w="6896" w:type="dxa"/>
            <w:shd w:val="clear" w:color="auto" w:fill="auto"/>
          </w:tcPr>
          <w:p w14:paraId="3367D139" w14:textId="77777777" w:rsidR="0038371F" w:rsidRPr="0038371F" w:rsidRDefault="0038371F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 xml:space="preserve">- необходимо соблюдать меры осторожности с исключением контакта с токоведущими частями электроустановки. </w:t>
            </w:r>
          </w:p>
          <w:p w14:paraId="30D23C91" w14:textId="77777777" w:rsidR="0038371F" w:rsidRPr="0038371F" w:rsidRDefault="0038371F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при работе в электроустановке под напряжением работа должна выполняться только в диэлектрических перчатках.</w:t>
            </w:r>
          </w:p>
          <w:p w14:paraId="0C6A5DBF" w14:textId="77777777" w:rsidR="0038371F" w:rsidRPr="0038371F" w:rsidRDefault="0038371F" w:rsidP="00FE1BF9">
            <w:pPr>
              <w:rPr>
                <w:rFonts w:eastAsia="Times New Roman"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запрещается самостоятельно разбирать и ремонтировать (устранять неисправности) оборудование.</w:t>
            </w:r>
          </w:p>
          <w:p w14:paraId="679B1E68" w14:textId="77777777" w:rsidR="0038371F" w:rsidRPr="0038371F" w:rsidRDefault="0038371F" w:rsidP="00FE1BF9">
            <w:pPr>
              <w:rPr>
                <w:rFonts w:cs="Times New Roman"/>
                <w:sz w:val="28"/>
                <w:szCs w:val="28"/>
              </w:rPr>
            </w:pPr>
            <w:r w:rsidRPr="0038371F">
              <w:rPr>
                <w:rFonts w:eastAsia="Times New Roman" w:cs="Times New Roman"/>
                <w:sz w:val="28"/>
                <w:szCs w:val="28"/>
              </w:rPr>
              <w:t>- е</w:t>
            </w:r>
            <w:r w:rsidRPr="0038371F">
              <w:rPr>
                <w:rFonts w:cs="Times New Roman"/>
                <w:sz w:val="28"/>
                <w:szCs w:val="28"/>
              </w:rPr>
              <w:t xml:space="preserve">сли во время работы обнаружится неисправность оборудования или работающий с ним почувствует действие электрического тока, перегрев частей и деталей или запах тлеющей изоляции электропроводки, работа должна быть немедленно </w:t>
            </w:r>
            <w:r w:rsidRPr="0038371F">
              <w:rPr>
                <w:rFonts w:cs="Times New Roman"/>
                <w:sz w:val="28"/>
                <w:szCs w:val="28"/>
              </w:rPr>
              <w:lastRenderedPageBreak/>
              <w:t>прекращена, а оборудование должно быть сдано для проверки и ремонта.</w:t>
            </w:r>
          </w:p>
        </w:tc>
      </w:tr>
    </w:tbl>
    <w:p w14:paraId="4D6728F4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lastRenderedPageBreak/>
        <w:t>При выполнении конкурсных заданий и уборке рабочих мест:</w:t>
      </w:r>
    </w:p>
    <w:p w14:paraId="099B09C9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1BD32223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- соблюдать настоящую инструкцию;</w:t>
      </w:r>
    </w:p>
    <w:p w14:paraId="0DD16273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4BA7F10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- поддерживать порядок и чистоту на рабочем месте;</w:t>
      </w:r>
    </w:p>
    <w:p w14:paraId="71A965DF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0AB60CC8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- выполнять конкурсные задания только исправным инструментом;</w:t>
      </w:r>
    </w:p>
    <w:p w14:paraId="0515165F" w14:textId="7098031E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2D31F585" w14:textId="307A03DC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7" w:name="_heading=h.4d34og8"/>
      <w:bookmarkEnd w:id="7"/>
      <w:r w:rsidRPr="00D80739">
        <w:rPr>
          <w:rFonts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29FB521E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В случае возникновения у участника плохого самочувствия или получения травмы сообщить об этом эксперту.</w:t>
      </w:r>
    </w:p>
    <w:p w14:paraId="3AD8C792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7CD1510E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lastRenderedPageBreak/>
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335805D8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08AB7E7F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</w:t>
      </w:r>
    </w:p>
    <w:p w14:paraId="7E569E2D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CAABE6F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C317AE" w14:textId="1C701DB8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2264D1D6" w14:textId="340DA015" w:rsidR="00D80739" w:rsidRPr="00C43FEB" w:rsidRDefault="00D80739" w:rsidP="00D80739">
      <w:pPr>
        <w:spacing w:before="120" w:after="120" w:line="360" w:lineRule="auto"/>
        <w:ind w:firstLine="709"/>
        <w:jc w:val="both"/>
        <w:rPr>
          <w:rFonts w:asciiTheme="minorHAnsi" w:hAnsiTheme="minorHAnsi"/>
        </w:rPr>
      </w:pPr>
      <w:r w:rsidRPr="00D80739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62042F0" w14:textId="10D2B37F" w:rsidR="001A206B" w:rsidRDefault="001A206B" w:rsidP="00D807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7. Требования охраны труда по окончании работы</w:t>
      </w:r>
    </w:p>
    <w:p w14:paraId="7CC03077" w14:textId="77777777" w:rsidR="001A206B" w:rsidRPr="00D80739" w:rsidRDefault="00A8114D" w:rsidP="00D807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D80739">
        <w:rPr>
          <w:rFonts w:eastAsia="Times New Roman" w:cs="Times New Roman"/>
          <w:color w:val="000000"/>
          <w:sz w:val="28"/>
          <w:szCs w:val="28"/>
        </w:rPr>
        <w:t>.</w:t>
      </w:r>
      <w:r w:rsidRPr="00D80739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1175E510" w14:textId="77777777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 xml:space="preserve">Привести в порядок рабочее место. </w:t>
      </w:r>
    </w:p>
    <w:p w14:paraId="43755821" w14:textId="0C7C23CB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 xml:space="preserve"> Убрать средства индивидуальной защиты в отведенное для хранений место.</w:t>
      </w:r>
    </w:p>
    <w:p w14:paraId="07C2BFA3" w14:textId="11E14D25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Отключить инструмент и оборудование от сети.</w:t>
      </w:r>
    </w:p>
    <w:p w14:paraId="553E74EE" w14:textId="6DF48718" w:rsidR="00D80739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Инструмент убрать в специально предназначенное для хранений место.</w:t>
      </w:r>
    </w:p>
    <w:p w14:paraId="74103E89" w14:textId="0FECE69E" w:rsidR="001A206B" w:rsidRPr="00D80739" w:rsidRDefault="00D80739" w:rsidP="00D80739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 w:rsidRPr="00D80739">
        <w:rPr>
          <w:rFonts w:cs="Times New Roman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D80739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8547" w14:textId="77777777" w:rsidR="00475934" w:rsidRDefault="00475934">
      <w:pPr>
        <w:spacing w:line="240" w:lineRule="auto"/>
      </w:pPr>
      <w:r>
        <w:separator/>
      </w:r>
    </w:p>
  </w:endnote>
  <w:endnote w:type="continuationSeparator" w:id="0">
    <w:p w14:paraId="0399F8E0" w14:textId="77777777" w:rsidR="00475934" w:rsidRDefault="0047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7129" w14:textId="77777777" w:rsidR="00475934" w:rsidRDefault="00475934">
      <w:pPr>
        <w:spacing w:line="240" w:lineRule="auto"/>
      </w:pPr>
      <w:r>
        <w:separator/>
      </w:r>
    </w:p>
  </w:footnote>
  <w:footnote w:type="continuationSeparator" w:id="0">
    <w:p w14:paraId="3A5BB366" w14:textId="77777777" w:rsidR="00475934" w:rsidRDefault="00475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3249F8"/>
    <w:multiLevelType w:val="multilevel"/>
    <w:tmpl w:val="03BA313C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62626961">
    <w:abstractNumId w:val="10"/>
  </w:num>
  <w:num w:numId="2" w16cid:durableId="2117822722">
    <w:abstractNumId w:val="6"/>
  </w:num>
  <w:num w:numId="3" w16cid:durableId="764300321">
    <w:abstractNumId w:val="7"/>
  </w:num>
  <w:num w:numId="4" w16cid:durableId="982390427">
    <w:abstractNumId w:val="8"/>
  </w:num>
  <w:num w:numId="5" w16cid:durableId="170685764">
    <w:abstractNumId w:val="9"/>
  </w:num>
  <w:num w:numId="6" w16cid:durableId="1405759565">
    <w:abstractNumId w:val="0"/>
  </w:num>
  <w:num w:numId="7" w16cid:durableId="1011178162">
    <w:abstractNumId w:val="2"/>
  </w:num>
  <w:num w:numId="8" w16cid:durableId="864442969">
    <w:abstractNumId w:val="4"/>
  </w:num>
  <w:num w:numId="9" w16cid:durableId="1723558993">
    <w:abstractNumId w:val="3"/>
  </w:num>
  <w:num w:numId="10" w16cid:durableId="1123889754">
    <w:abstractNumId w:val="1"/>
  </w:num>
  <w:num w:numId="11" w16cid:durableId="273295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533D2"/>
    <w:rsid w:val="00195C80"/>
    <w:rsid w:val="001A206B"/>
    <w:rsid w:val="00247E10"/>
    <w:rsid w:val="00325995"/>
    <w:rsid w:val="0038371F"/>
    <w:rsid w:val="0039233A"/>
    <w:rsid w:val="00475934"/>
    <w:rsid w:val="00584FB3"/>
    <w:rsid w:val="005D008A"/>
    <w:rsid w:val="00632EE1"/>
    <w:rsid w:val="009269AB"/>
    <w:rsid w:val="00940A53"/>
    <w:rsid w:val="009C03C8"/>
    <w:rsid w:val="00A7162A"/>
    <w:rsid w:val="00A8114D"/>
    <w:rsid w:val="00B366B4"/>
    <w:rsid w:val="00C32640"/>
    <w:rsid w:val="00CF512D"/>
    <w:rsid w:val="00D60813"/>
    <w:rsid w:val="00D80739"/>
    <w:rsid w:val="00E002A3"/>
    <w:rsid w:val="00EC4BD3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18">
    <w:name w:val="Абзац списка1"/>
    <w:basedOn w:val="a"/>
    <w:rsid w:val="00CF512D"/>
    <w:pPr>
      <w:suppressAutoHyphens/>
      <w:spacing w:after="200" w:line="276" w:lineRule="auto"/>
      <w:ind w:left="720"/>
      <w:outlineLvl w:val="9"/>
    </w:pPr>
    <w:rPr>
      <w:rFonts w:ascii="Calibri" w:hAnsi="Calibri" w:cs="Times New Roman"/>
      <w:positio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3277</Words>
  <Characters>18680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Максим Мишутин</cp:lastModifiedBy>
  <cp:revision>13</cp:revision>
  <dcterms:created xsi:type="dcterms:W3CDTF">2023-10-10T08:16:00Z</dcterms:created>
  <dcterms:modified xsi:type="dcterms:W3CDTF">2024-01-18T06:47:00Z</dcterms:modified>
</cp:coreProperties>
</file>