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11075A" w:rsidTr="00A155F9">
        <w:tc>
          <w:tcPr>
            <w:tcW w:w="4962" w:type="dxa"/>
          </w:tcPr>
          <w:p w:rsidR="0011075A" w:rsidRDefault="0011075A" w:rsidP="00A155F9">
            <w:pPr>
              <w:pStyle w:val="afc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B9FEA33" wp14:editId="50E8798C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11075A" w:rsidRDefault="0011075A" w:rsidP="00A155F9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11075A" w:rsidRDefault="0011075A" w:rsidP="0011075A">
      <w:pPr>
        <w:rPr>
          <w:sz w:val="28"/>
          <w:szCs w:val="28"/>
        </w:rPr>
      </w:pPr>
    </w:p>
    <w:p w:rsidR="0011075A" w:rsidRDefault="0011075A" w:rsidP="0011075A">
      <w:pPr>
        <w:rPr>
          <w:sz w:val="28"/>
          <w:szCs w:val="28"/>
        </w:rPr>
      </w:pPr>
    </w:p>
    <w:p w:rsidR="0011075A" w:rsidRDefault="0011075A" w:rsidP="0011075A">
      <w:pPr>
        <w:rPr>
          <w:sz w:val="28"/>
          <w:szCs w:val="28"/>
        </w:rPr>
      </w:pPr>
    </w:p>
    <w:p w:rsidR="0011075A" w:rsidRDefault="0011075A" w:rsidP="0011075A">
      <w:pPr>
        <w:rPr>
          <w:sz w:val="28"/>
          <w:szCs w:val="28"/>
        </w:rPr>
      </w:pPr>
    </w:p>
    <w:p w:rsidR="0011075A" w:rsidRDefault="0011075A" w:rsidP="0011075A">
      <w:pPr>
        <w:rPr>
          <w:sz w:val="28"/>
          <w:szCs w:val="28"/>
        </w:rPr>
      </w:pPr>
    </w:p>
    <w:p w:rsidR="0011075A" w:rsidRDefault="0011075A" w:rsidP="0011075A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1075A" w:rsidRDefault="0011075A" w:rsidP="0011075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«ВОЖАТСКАЯ ДЕЯТЕЛЬНОСТЬ»</w:t>
      </w:r>
    </w:p>
    <w:p w:rsidR="0011075A" w:rsidRDefault="0011075A" w:rsidP="0011075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1075A" w:rsidRDefault="0011075A" w:rsidP="0011075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1075A" w:rsidRDefault="0011075A" w:rsidP="0011075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1075A" w:rsidRDefault="0011075A" w:rsidP="0011075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1075A" w:rsidRDefault="0011075A" w:rsidP="0011075A">
      <w:pPr>
        <w:rPr>
          <w:rFonts w:ascii="Times New Roman" w:hAnsi="Times New Roman" w:cs="Times New Roman"/>
          <w:sz w:val="72"/>
          <w:szCs w:val="72"/>
        </w:rPr>
      </w:pPr>
    </w:p>
    <w:p w:rsidR="0011075A" w:rsidRDefault="0011075A" w:rsidP="0011075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 г.</w:t>
      </w:r>
    </w:p>
    <w:p w:rsidR="001272D8" w:rsidRDefault="008C4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</w:rPr>
        <w:t>Вожатская деятельность»</w:t>
      </w:r>
    </w:p>
    <w:p w:rsidR="001272D8" w:rsidRDefault="008C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</w:rPr>
        <w:t>: командный</w:t>
      </w:r>
      <w:r w:rsidR="0011075A">
        <w:rPr>
          <w:rFonts w:ascii="Times New Roman" w:eastAsia="Times New Roman" w:hAnsi="Times New Roman" w:cs="Times New Roman"/>
          <w:sz w:val="28"/>
          <w:szCs w:val="28"/>
        </w:rPr>
        <w:t xml:space="preserve"> (2 человека в команде)</w:t>
      </w:r>
    </w:p>
    <w:p w:rsidR="001272D8" w:rsidRDefault="00127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72D8" w:rsidRDefault="008C4E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компетенции.</w:t>
      </w:r>
    </w:p>
    <w:p w:rsidR="001272D8" w:rsidRDefault="008C4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 деятельности детского коллектива (далее – Вожатый) осуществляет сопровождение временного детского коллектива (группы, подразделения, объединения, отряда) в организациях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их оздоровления, образовательных организациях, досуговых центрах, клубах и иных организациях как дневного, так и круглосуточного пребывания детей по сменам. Вожатый создает условия для развития временного детского коллектива, планирует и реализует его деятельность в сотрудничестве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напарником и под руководством педагогического, воспитательного работника, старшего вожатого или иного сотрудника,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данной организации. </w:t>
      </w:r>
    </w:p>
    <w:p w:rsidR="001272D8" w:rsidRDefault="008C4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Вожатый также оказывает организационную поддержку обучающимся образовательных организаций, воспитанникам клубов, досуговых центров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иных организаций в создании, развитии и деятельности детского, юношеского, молодежного коллектива (первичной ячейки РДДМ «Движение первых», отделений ВВПОД ЮНАРМИЯ, Российское Движение Школьников, Большая Перемена, Российский Союз Молодежи и других) под руководством педагогического работника. </w:t>
      </w:r>
    </w:p>
    <w:p w:rsidR="001272D8" w:rsidRDefault="008C4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Вожатый в своей работе опирается на нормативно-правовые документы, регламентирующие организацию деятельности детей, организует работу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с детьми с учетом возрастных особенностей и этапов формирования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развития временного детского коллектива, характеристик основных этапов планирования и работы в вышеуказанных организациях.</w:t>
      </w:r>
    </w:p>
    <w:p w:rsidR="001272D8" w:rsidRDefault="008C4E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2et92p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вожатого актуальна для функционирования организаций отдыха детей и их оздоровления, образовательных организаций, досуговых центров, клубов, общественных и иных организаций, поскольку вожатый осуществляет индивидуальный подход к каждому ребенку, создает условия для развития его творческого потенциала, организует его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учётом психологических и физиологических возможностей, создает ситуацию успеха в детском коллективе.</w:t>
      </w:r>
    </w:p>
    <w:p w:rsidR="001272D8" w:rsidRDefault="008C4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Вожатый работает с подрастающим поколением, которое смотрит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стремительно меняющийся мир внедрения цифровых технологий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различные сферы жизнедеятельности человека новым взглядом, поэтому ему необходимо развивать в себе такие качества, как мобильность, готовность к переменам, способность самостоятельно принимать нестандартные решения и выполнять трудовые действия в режиме многозадачности. Вожатый работает в молодежной среде, а значит, обязан оперировать длительными прогнозами, связанными с воспитанием потребности в образовании в течение всей жизни. В связи с этим компетенция откликается на актуальные требования общества, важнейшим из которых выступает воспитание личностных качеств ребенка,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помогут ему успешно социализироваться и быть профессионально востребованным в обществе.</w:t>
      </w:r>
    </w:p>
    <w:p w:rsidR="001272D8" w:rsidRDefault="008C4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компетенции Вожатская деятельность связана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возрастанием роли человеческого капитала как основного фактора экономического развития. </w:t>
      </w:r>
    </w:p>
    <w:p w:rsidR="001272D8" w:rsidRDefault="008C4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Компетенция способствует раскрытию потенциала молодежи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получении общественно-полезных знаний и навыков, вовлечения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творческую деятельность и социальную практику, повышение гражданской активности и формирование здорового образа жизни для ее самореализации в интересах экономического и социального развития России.</w:t>
      </w:r>
    </w:p>
    <w:p w:rsidR="001272D8" w:rsidRDefault="008C4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компетенции обусловлена и инициативами Президента Российской Федерации о важности воспитательной составляющей работы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молодежью, способствующей всестороннему духовному, нравственному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интеллектуальному развитию обучающихся, воспитанию в них чувства патриотизма и гражданственности, уважения к памяти защитников Отечества, старшему поколению и человеку труда. </w:t>
      </w:r>
    </w:p>
    <w:p w:rsidR="001272D8" w:rsidRDefault="008C4E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Продуктами конкурсного задания является виды деятельности: </w:t>
      </w:r>
    </w:p>
    <w:p w:rsidR="001272D8" w:rsidRDefault="008C4EA7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сопровождение деятельности временного детского коллектива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организациях отдыха детей и их оздоровления под руководством педагогического работника;</w:t>
      </w:r>
    </w:p>
    <w:p w:rsidR="001272D8" w:rsidRDefault="008C4EA7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организационной поддержки обучающимся образовательной организации в создании, развитии и деятельности детского коллектива (первичных ячеек и отделений) под руководством педагогического работника.</w:t>
      </w:r>
    </w:p>
    <w:p w:rsidR="001272D8" w:rsidRDefault="00127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2D8" w:rsidRDefault="008C4EA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2" w:name="_heading=h.30j0zll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</w:p>
    <w:p w:rsidR="001272D8" w:rsidRDefault="008C4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1272D8" w:rsidRDefault="008C4E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СПО:</w:t>
      </w:r>
    </w:p>
    <w:p w:rsidR="001272D8" w:rsidRDefault="008C4EA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44.02.02 Преподавание в начальных классах. Приказ «Об утверждении федерального государственного образовательного стандарта среднего профессионального образования по специальности 44.02.02 Преподавание в начальных классах» от 27 октября 2014 № 1353 (ред. от 25.03.2015) 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272D8" w:rsidRDefault="008C4EA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44.02.03 Педагогика дополнительного образования. Приказ «Об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образования» от 13 августа 2014 г. № 998 (ред. от 25.03.2015) Министерств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72D8" w:rsidRDefault="008C4EA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44.02.05 Коррекционная педагогика в начальном образовании. Приказ «Об утверждении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44.02.05 Коррекционная педагогика в начальном образовании»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13 марта 2018 г. № 183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72D8" w:rsidRDefault="008C4EA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44.02.06 Профессиональное обучение (по отраслям). Приказ «Об утверждении федерального государственного образовательного стандарта среднего профессионального образования по специальности 44.02.06 Профессиональное обучение (по отраслям)» </w:t>
      </w:r>
      <w:r>
        <w:rPr>
          <w:rFonts w:ascii="Times New Roman" w:eastAsia="Times New Roman" w:hAnsi="Times New Roman" w:cs="Times New Roman"/>
          <w:sz w:val="28"/>
          <w:szCs w:val="28"/>
        </w:rPr>
        <w:t>от 26 октября 2014 г. № 1386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72D8" w:rsidRDefault="008C4EA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1fob9te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49.02.01 Физическая культура. Приказ «Об утверждении федерального государственного образовательного стандарта среднего профессионального образования по специальности 49.02.01 Физическая культура»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 октября 2014 г. № 1355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72D8" w:rsidRDefault="008C4EA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49.02.02 Адаптивная физическая культура. Приказ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стандарта среднего профессионального образования по специальности 49.02.02 Адаптивная физическая культура» от 13 августа 2014 г. № 994 Министерства образования и науки Российской Федерации;</w:t>
      </w:r>
    </w:p>
    <w:p w:rsidR="001272D8" w:rsidRDefault="008C4EA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49.02.03 Спорт</w:t>
      </w:r>
      <w:r>
        <w:rPr>
          <w:rFonts w:ascii="Times New Roman" w:eastAsia="Times New Roman" w:hAnsi="Times New Roman" w:cs="Times New Roman"/>
          <w:sz w:val="28"/>
          <w:szCs w:val="28"/>
        </w:rPr>
        <w:t>. Приказ «Об утверждении федерального государственного образовательного стандарта среднего профессионального образования по специальности 49.02.03 Спорт» от 21 апреля 2021 г. № 193 Министерства образования и науки Российской Федерации;</w:t>
      </w:r>
    </w:p>
    <w:p w:rsidR="001272D8" w:rsidRDefault="008C4EA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51.02.02 Социально-культурная деятельность (по </w:t>
      </w:r>
      <w:r>
        <w:rPr>
          <w:rFonts w:ascii="Times New Roman" w:eastAsia="Times New Roman" w:hAnsi="Times New Roman" w:cs="Times New Roman"/>
          <w:sz w:val="28"/>
          <w:szCs w:val="28"/>
        </w:rPr>
        <w:t>видам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>Приказ «Об утверждении федерального государственного образовательного стандарта среднего профессионального образования по специальности 51.02.02 Социально-культурная деятельность (по видам)» от 27 октября 2014 г. № 1356 Министерства образования и науки Российской Федерации.</w:t>
      </w:r>
    </w:p>
    <w:p w:rsidR="001272D8" w:rsidRDefault="008C4E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</w:t>
      </w:r>
    </w:p>
    <w:p w:rsidR="001272D8" w:rsidRDefault="008C4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01.007 Специалист, участвующий в организации деятельности детского коллектива (вожатый). Приказ «Об утверждении профессионального стандарта «Специалист, участвующий в организации деятельности детского коллектива (вожатый)» от 25.12.2018 г. № 840н Министерства труда и социальной защиты Российской Федерации.</w:t>
      </w:r>
    </w:p>
    <w:p w:rsidR="001272D8" w:rsidRDefault="008C4E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ЕТКС</w:t>
      </w:r>
    </w:p>
    <w:p w:rsidR="001272D8" w:rsidRDefault="008C4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Единый квалификационный справочник должностей в разделе «Квалификационные характеристики должностей работников образования». Приказ «Об утверждении </w:t>
      </w:r>
      <w:hyperlink r:id="rId9" w:anchor="6500IL" w:tooltip="https://docs.cntd.ru/document/902233423#6500IL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изменениями на 31 мая 2011 года) № 761н от 26 августа 2010 г. Министерства здравоохранения и социального развития Российской Федерации.</w:t>
      </w:r>
    </w:p>
    <w:p w:rsidR="001272D8" w:rsidRDefault="008C4E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Отраслевые/корпоративные стандарты</w:t>
      </w:r>
    </w:p>
    <w:p w:rsidR="001272D8" w:rsidRDefault="008C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01.007 Специалист, участвующий в организации деятельности детского коллектива (вожатый). Приказ «Об утверждении профессионального стандарта «Специалист, участвующий в организации деятельности детского коллектива (вожатый)» от 25.12.2018 г. № 840н Министерства труда и социальной защиты Российской Федерации.</w:t>
      </w:r>
    </w:p>
    <w:p w:rsidR="001272D8" w:rsidRDefault="008C4E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Квалификационные характеристики (профессиограмма)</w:t>
      </w:r>
    </w:p>
    <w:p w:rsidR="001272D8" w:rsidRDefault="001272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StGen00"/>
        <w:tblW w:w="934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14"/>
        <w:gridCol w:w="1958"/>
        <w:gridCol w:w="1802"/>
        <w:gridCol w:w="1802"/>
        <w:gridCol w:w="1969"/>
      </w:tblGrid>
      <w:tr w:rsidR="001272D8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 опыт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1272D8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организации и сопровождению деятельности детского коллектива (группы, подразделения, объединения) в организациях отдыха детей и их оздоровления (образовательных организациях)</w:t>
            </w:r>
          </w:p>
          <w:p w:rsidR="001272D8" w:rsidRDefault="001272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Компетенция 1.</w:t>
            </w:r>
          </w:p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деятельности временного детского коллектива (группы, подразделения, объединения) в организациях отдыха детей и их оздоровления под руководством педагогического работника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деятельности временного детского коллектива (группы, подразделения, объединения) под руководством педагогического работника в соответствии с планом работы организации отдыха детей и их оздоровления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ежедневный план работы для временного детского коллектива (группы, подразделения, объединения) в соответствии с планом работы организации отдыха детей и их оздоровления, возрастными особенностями детей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Законодательные и иные нормативные правовые акты в области защиты прав ребенка, в том числе международные, в сфере организации отдыха детей и их оздоровления, в сфере деятельности детских и молодежных общественных организаций, а также в сфере информационной безопасности, включая защиту персональных данных</w:t>
            </w:r>
          </w:p>
        </w:tc>
      </w:tr>
      <w:tr w:rsidR="001272D8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1272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1272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Сопровождение временного детского коллектива (группы, подразделения, объединения) под руководством педагогического работника в соответствии с ежедневным планом работы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отдыха детей и их оздоровления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Подбирать материалы для проведения игр, сборов и иных мероприятий во временном детском коллективе (группе, подразделении, объединении), направленных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коллектива, его развитие, поддержание комфортного эмоционального состояния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Локальные акты организации отдыха детей и их оздоровления. Основы планирования деятельности временного детского коллектива (группы, подразделения, объединения)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планом работы организации отдыха детей и их оздоровления</w:t>
            </w:r>
          </w:p>
        </w:tc>
      </w:tr>
      <w:tr w:rsidR="001272D8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1272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1272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под руководством педагогического работника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внешние факторы проведения мероприятия (время суток, соответствие общему плану работы организации отдыха детей и их оздоровления, погодные условия, условия безопасности)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состояния. Возрастные особенности детей.</w:t>
            </w:r>
          </w:p>
        </w:tc>
      </w:tr>
      <w:tr w:rsidR="001272D8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1272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1272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участников временного детского коллектива (группы, подразделения, объединения) в систему мотивационных мероприятий организации отдыха детей и их оздоровления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участников временного детского коллектива (группы, подразделения, объединения) о системе мотивационных мероприятий организации отдыха детей и их оздоровления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Подходы к организации мотивационных мероприятий организации отдыха детей и их оздоровления</w:t>
            </w:r>
          </w:p>
        </w:tc>
      </w:tr>
      <w:tr w:rsidR="001272D8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1272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Компетенция 2. Оказание организационной поддержки обучающимся образовательной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в создании, развитии и деятельности детского коллектива (группы, подразделения, объединения) под руководством педагогического работника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Информирование обучающихся о возможности создания и участия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детского коллектива (группы, подразделения, объединения)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Информировать обучающихся о возможности создания и участия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детского коллектива (группы, подразделения, объединения)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Международные акты о правах ребенка, законодательство Российской Федерации,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нормативные правовые акты, регламентирующие деятельность детских общественных объединений.</w:t>
            </w:r>
          </w:p>
          <w:p w:rsidR="001272D8" w:rsidRDefault="0012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2D8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1272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1272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деятельности детского коллектива (группы, подразделения, объединения) под руководством педагогического работника с учетом мнения обучающихся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деятельность детского коллектива (группы, подразделения, объединения) с учетом мнения обучающихся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нормативные акты, регламентирующие деятельность организации, на базе которой действует детский коллектив (группа, подразделение, объединение). Возрастные особенности детей, возрастной подход в развитии детского коллектива.</w:t>
            </w:r>
          </w:p>
        </w:tc>
      </w:tr>
      <w:tr w:rsidR="001272D8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1272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1272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под руководством педагогического работника организационных сборов, мероприятий и игр, направленных на формирование и развитие детского коллектива (группы, подразделения, объединения), анализ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его деятельности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Подбирать материалы для проведения организационных сборов, мероприятий и игр, направленных на формирование и развитие детского коллектива (группы, подразделения, объединения), анализ результатов его деятельности. 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внешние факторы проведения мероприятия (время суток, соответствие общему плану работы организации, погодные условия, условия безопасности)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Технологии проведения организационных сборов, мероприятий и игр, направленных на формирование и развитие детского коллектива (группы, подразделения, объединения), анализ результатов его деятельности</w:t>
            </w:r>
          </w:p>
        </w:tc>
      </w:tr>
      <w:tr w:rsidR="001272D8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1272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1272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обучающихся - членов детского коллектива (группы, подразделения, объединения) о возможностях участия в конкурсах и проектах, направленных на развитие личностных качеств отдельных участников и всего детского коллектива в целом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Находить, отбирать и представлять информацию о возможностях участия в конкурсах и проектах, направленных на развитие личностных качеств отдельных участников и всего детского коллектива (группы, подразделения, объединения) в целом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деятельности детских и молодежных общественных организаций и объединений, осуществляющих деятельность в сфере воспитания детей и молодежи</w:t>
            </w:r>
          </w:p>
        </w:tc>
      </w:tr>
    </w:tbl>
    <w:p w:rsidR="001272D8" w:rsidRDefault="001272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2D8" w:rsidRDefault="008C4E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ГОСТы</w:t>
      </w:r>
    </w:p>
    <w:p w:rsidR="001272D8" w:rsidRDefault="008C4E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применимо.</w:t>
      </w:r>
    </w:p>
    <w:p w:rsidR="001272D8" w:rsidRDefault="008C4E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</w:p>
    <w:p w:rsidR="001272D8" w:rsidRDefault="008C4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«Об утверждении санитарных правил СП 2.4.3648 – 20 «Санитарно-эпидемиологические требования к организации воспитания и обучения, отдыха и оздоровления детей и молодежи» от 28.09.2020 г. № 28 Главного государственного санитарного врача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2D8" w:rsidRDefault="008C4E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 (СНИП) </w:t>
      </w:r>
    </w:p>
    <w:p w:rsidR="001272D8" w:rsidRDefault="008C4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применимо.</w:t>
      </w:r>
    </w:p>
    <w:p w:rsidR="001272D8" w:rsidRDefault="008C4E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Нормативно-правовые документы:</w:t>
      </w:r>
    </w:p>
    <w:p w:rsidR="001272D8" w:rsidRDefault="008C4EA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«Об утверждении примерных положений об организациях отдыха детей и их оздоровления» от 13 июля 2017 г. № 656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Министерства образования и науки Российской Федерации (зарегистрирован Минюстом России 1 августа 2017 г., регистрационный № 47607);</w:t>
      </w:r>
    </w:p>
    <w:p w:rsidR="001272D8" w:rsidRDefault="008C4EA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«Конвенция о правах ребёнка» от 20.11.1989 г. одобрена Генеральной Ассамблеи ООН;</w:t>
      </w:r>
    </w:p>
    <w:p w:rsidR="001272D8" w:rsidRDefault="008C4EA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«Конституция Российской Федерации» от 12.12.1993 с изменениями, одобренными в ходе общероссийского голосования 01.07.2020 принята всенародным голосованием;</w:t>
      </w:r>
    </w:p>
    <w:p w:rsidR="001272D8" w:rsidRDefault="008C4EA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«Гражданский кодекс Российской Федерации» от 21.10.1994 (</w:t>
      </w:r>
      <w:r>
        <w:rPr>
          <w:rFonts w:ascii="Times New Roman" w:eastAsia="Times New Roman" w:hAnsi="Times New Roman" w:cs="Times New Roman"/>
          <w:sz w:val="28"/>
          <w:szCs w:val="28"/>
        </w:rPr>
        <w:t>действующая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редакция от 16.04.2022) принят Государственной Думой Российской Федерации;</w:t>
      </w:r>
    </w:p>
    <w:p w:rsidR="001272D8" w:rsidRDefault="008C4EA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«Об основных гарантиях прав ребенка в Российской Федерации» от 24 июля 1998 г. № 124-ФЗ принят Государственной Думой;</w:t>
      </w:r>
    </w:p>
    <w:p w:rsidR="001272D8" w:rsidRDefault="008C4EA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«Об образовании в Российской Федерации» от 29.12.2012 № 273-ФЗ принят Государственной Думой.</w:t>
      </w:r>
    </w:p>
    <w:p w:rsidR="001272D8" w:rsidRDefault="001272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2D8" w:rsidRDefault="008C4E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профессиональной областью специалиста и базируется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требованиях современного рынка труда к данному специалисту: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272D8" w:rsidRDefault="001272D8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StGen1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1272D8">
        <w:tc>
          <w:tcPr>
            <w:tcW w:w="989" w:type="dxa"/>
            <w:shd w:val="clear" w:color="auto" w:fill="92D050"/>
            <w:vAlign w:val="center"/>
          </w:tcPr>
          <w:p w:rsidR="001272D8" w:rsidRDefault="008C4EA7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:rsidR="001272D8" w:rsidRDefault="008C4EA7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272D8">
        <w:tc>
          <w:tcPr>
            <w:tcW w:w="989" w:type="dxa"/>
            <w:shd w:val="clear" w:color="auto" w:fill="AEAAAA"/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  <w:vAlign w:val="center"/>
          </w:tcPr>
          <w:p w:rsidR="001272D8" w:rsidRDefault="008C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деятельности временного детского коллектива (группы, подразделения, объединения) под руководством педагогического работника в соответствии с планом работы организации отдыха детей и их оздоровления </w:t>
            </w:r>
          </w:p>
        </w:tc>
      </w:tr>
      <w:tr w:rsidR="001272D8">
        <w:tc>
          <w:tcPr>
            <w:tcW w:w="989" w:type="dxa"/>
            <w:shd w:val="clear" w:color="auto" w:fill="AEAAAA"/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  <w:vAlign w:val="center"/>
          </w:tcPr>
          <w:p w:rsidR="001272D8" w:rsidRDefault="008C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Сопровождение временного детского коллектива (группы, подразделения, объединения) под руководством педагогического работника в соответствии с ежедневным планом работы организации отдыха детей и их оздоровления </w:t>
            </w:r>
          </w:p>
        </w:tc>
      </w:tr>
      <w:tr w:rsidR="001272D8">
        <w:tc>
          <w:tcPr>
            <w:tcW w:w="989" w:type="dxa"/>
            <w:shd w:val="clear" w:color="auto" w:fill="AEAAAA"/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  <w:vAlign w:val="center"/>
          </w:tcPr>
          <w:p w:rsidR="001272D8" w:rsidRDefault="008C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под руководством педагогического работника игр, сборов и иных мероприятий во временном детском коллективе (группе, подразделении, объединении), направленных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формирование коллектива, его развитие, поддержание комфортного эмоционального состояния </w:t>
            </w:r>
          </w:p>
        </w:tc>
      </w:tr>
      <w:tr w:rsidR="001272D8">
        <w:tc>
          <w:tcPr>
            <w:tcW w:w="989" w:type="dxa"/>
            <w:shd w:val="clear" w:color="auto" w:fill="AEAAAA"/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  <w:vAlign w:val="center"/>
          </w:tcPr>
          <w:p w:rsidR="001272D8" w:rsidRDefault="008C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Включение участников временного детского коллектива (группы, подразделения, объединения) в систему мотивационных мероприятий организации отдыха детей и их оздоровления </w:t>
            </w:r>
          </w:p>
        </w:tc>
      </w:tr>
      <w:tr w:rsidR="001272D8">
        <w:tc>
          <w:tcPr>
            <w:tcW w:w="989" w:type="dxa"/>
            <w:shd w:val="clear" w:color="auto" w:fill="AEAAAA"/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  <w:vAlign w:val="center"/>
          </w:tcPr>
          <w:p w:rsidR="001272D8" w:rsidRDefault="008C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обучающихся о возможности создания и участия в деятельности детского коллектива (группы, подразделения, объединения) </w:t>
            </w:r>
          </w:p>
        </w:tc>
      </w:tr>
      <w:tr w:rsidR="001272D8">
        <w:tc>
          <w:tcPr>
            <w:tcW w:w="989" w:type="dxa"/>
            <w:shd w:val="clear" w:color="auto" w:fill="AEAAAA"/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356" w:type="dxa"/>
            <w:vAlign w:val="center"/>
          </w:tcPr>
          <w:p w:rsidR="001272D8" w:rsidRDefault="008C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деятельности детского коллектива (группы, подразделения, объединения) под руководством педагогического Работника с учетом мнения обучающихся </w:t>
            </w:r>
          </w:p>
        </w:tc>
      </w:tr>
      <w:tr w:rsidR="001272D8">
        <w:tc>
          <w:tcPr>
            <w:tcW w:w="989" w:type="dxa"/>
            <w:shd w:val="clear" w:color="auto" w:fill="AEAAAA"/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  <w:vAlign w:val="center"/>
          </w:tcPr>
          <w:p w:rsidR="001272D8" w:rsidRDefault="008C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под руководством педагогического работника организационных сборов, мероприятий и игр, направленных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формирование и развитие детского коллектива (группы, подразделения, объединения), анализ результатов его деятельности </w:t>
            </w:r>
          </w:p>
        </w:tc>
      </w:tr>
      <w:tr w:rsidR="001272D8">
        <w:tc>
          <w:tcPr>
            <w:tcW w:w="989" w:type="dxa"/>
            <w:shd w:val="clear" w:color="auto" w:fill="AEAAAA"/>
            <w:vAlign w:val="center"/>
          </w:tcPr>
          <w:p w:rsidR="001272D8" w:rsidRDefault="008C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6" w:type="dxa"/>
            <w:vAlign w:val="center"/>
          </w:tcPr>
          <w:p w:rsidR="001272D8" w:rsidRDefault="008C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обучающихся - членов детского коллектива (группы, подразделения, объединения) о возможностях участия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конкурсах и проектах, направленных на развитие личностных качеств отдельных участников и всего детского коллектива в целом </w:t>
            </w:r>
          </w:p>
        </w:tc>
      </w:tr>
    </w:tbl>
    <w:p w:rsidR="001272D8" w:rsidRDefault="001272D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1272D8">
      <w:footerReference w:type="default" r:id="rId10"/>
      <w:pgSz w:w="11906" w:h="16838"/>
      <w:pgMar w:top="1134" w:right="850" w:bottom="1134" w:left="1701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5C6" w:rsidRDefault="000005C6">
      <w:pPr>
        <w:spacing w:after="0" w:line="240" w:lineRule="auto"/>
      </w:pPr>
      <w:r>
        <w:separator/>
      </w:r>
    </w:p>
  </w:endnote>
  <w:endnote w:type="continuationSeparator" w:id="0">
    <w:p w:rsidR="000005C6" w:rsidRDefault="0000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2D8" w:rsidRDefault="008C4EA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2101B">
      <w:rPr>
        <w:noProof/>
        <w:color w:val="000000"/>
      </w:rPr>
      <w:t>2</w:t>
    </w:r>
    <w:r>
      <w:rPr>
        <w:color w:val="000000"/>
      </w:rPr>
      <w:fldChar w:fldCharType="end"/>
    </w:r>
  </w:p>
  <w:p w:rsidR="001272D8" w:rsidRDefault="001272D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5C6" w:rsidRDefault="000005C6">
      <w:pPr>
        <w:spacing w:after="0" w:line="240" w:lineRule="auto"/>
      </w:pPr>
      <w:r>
        <w:separator/>
      </w:r>
    </w:p>
  </w:footnote>
  <w:footnote w:type="continuationSeparator" w:id="0">
    <w:p w:rsidR="000005C6" w:rsidRDefault="00000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633A"/>
    <w:multiLevelType w:val="hybridMultilevel"/>
    <w:tmpl w:val="FD84738A"/>
    <w:lvl w:ilvl="0" w:tplc="0F823840">
      <w:start w:val="1"/>
      <w:numFmt w:val="decimal"/>
      <w:lvlText w:val="%1."/>
      <w:lvlJc w:val="left"/>
      <w:pPr>
        <w:ind w:left="709" w:hanging="359"/>
      </w:pPr>
    </w:lvl>
    <w:lvl w:ilvl="1" w:tplc="39AA9DD8">
      <w:start w:val="1"/>
      <w:numFmt w:val="lowerLetter"/>
      <w:lvlText w:val="%2."/>
      <w:lvlJc w:val="left"/>
      <w:pPr>
        <w:ind w:left="1440" w:hanging="360"/>
      </w:pPr>
    </w:lvl>
    <w:lvl w:ilvl="2" w:tplc="D6924BB8">
      <w:start w:val="1"/>
      <w:numFmt w:val="lowerRoman"/>
      <w:lvlText w:val="%3."/>
      <w:lvlJc w:val="right"/>
      <w:pPr>
        <w:ind w:left="2160" w:hanging="180"/>
      </w:pPr>
    </w:lvl>
    <w:lvl w:ilvl="3" w:tplc="47E44A08">
      <w:start w:val="1"/>
      <w:numFmt w:val="decimal"/>
      <w:lvlText w:val="%4."/>
      <w:lvlJc w:val="left"/>
      <w:pPr>
        <w:ind w:left="2880" w:hanging="360"/>
      </w:pPr>
    </w:lvl>
    <w:lvl w:ilvl="4" w:tplc="A44C9E6C">
      <w:start w:val="1"/>
      <w:numFmt w:val="lowerLetter"/>
      <w:lvlText w:val="%5."/>
      <w:lvlJc w:val="left"/>
      <w:pPr>
        <w:ind w:left="3600" w:hanging="360"/>
      </w:pPr>
    </w:lvl>
    <w:lvl w:ilvl="5" w:tplc="1270D1F6">
      <w:start w:val="1"/>
      <w:numFmt w:val="lowerRoman"/>
      <w:lvlText w:val="%6."/>
      <w:lvlJc w:val="right"/>
      <w:pPr>
        <w:ind w:left="4320" w:hanging="180"/>
      </w:pPr>
    </w:lvl>
    <w:lvl w:ilvl="6" w:tplc="819CA672">
      <w:start w:val="1"/>
      <w:numFmt w:val="decimal"/>
      <w:lvlText w:val="%7."/>
      <w:lvlJc w:val="left"/>
      <w:pPr>
        <w:ind w:left="5040" w:hanging="360"/>
      </w:pPr>
    </w:lvl>
    <w:lvl w:ilvl="7" w:tplc="0E2628C0">
      <w:start w:val="1"/>
      <w:numFmt w:val="lowerLetter"/>
      <w:lvlText w:val="%8."/>
      <w:lvlJc w:val="left"/>
      <w:pPr>
        <w:ind w:left="5760" w:hanging="360"/>
      </w:pPr>
    </w:lvl>
    <w:lvl w:ilvl="8" w:tplc="BE88EE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DF8"/>
    <w:multiLevelType w:val="hybridMultilevel"/>
    <w:tmpl w:val="1F5A1E00"/>
    <w:lvl w:ilvl="0" w:tplc="26D074B4">
      <w:start w:val="1"/>
      <w:numFmt w:val="decimal"/>
      <w:lvlText w:val="%1."/>
      <w:lvlJc w:val="left"/>
      <w:pPr>
        <w:ind w:left="709" w:hanging="359"/>
      </w:pPr>
    </w:lvl>
    <w:lvl w:ilvl="1" w:tplc="9454CCBC">
      <w:start w:val="1"/>
      <w:numFmt w:val="lowerLetter"/>
      <w:lvlText w:val="%2."/>
      <w:lvlJc w:val="left"/>
      <w:pPr>
        <w:ind w:left="1429" w:hanging="360"/>
      </w:pPr>
    </w:lvl>
    <w:lvl w:ilvl="2" w:tplc="D2CEB976">
      <w:start w:val="1"/>
      <w:numFmt w:val="lowerRoman"/>
      <w:lvlText w:val="%3."/>
      <w:lvlJc w:val="right"/>
      <w:pPr>
        <w:ind w:left="2149" w:hanging="180"/>
      </w:pPr>
    </w:lvl>
    <w:lvl w:ilvl="3" w:tplc="90BA9270">
      <w:start w:val="1"/>
      <w:numFmt w:val="decimal"/>
      <w:lvlText w:val="%4."/>
      <w:lvlJc w:val="left"/>
      <w:pPr>
        <w:ind w:left="2869" w:hanging="360"/>
      </w:pPr>
    </w:lvl>
    <w:lvl w:ilvl="4" w:tplc="5F2A61B0">
      <w:start w:val="1"/>
      <w:numFmt w:val="lowerLetter"/>
      <w:lvlText w:val="%5."/>
      <w:lvlJc w:val="left"/>
      <w:pPr>
        <w:ind w:left="3589" w:hanging="360"/>
      </w:pPr>
    </w:lvl>
    <w:lvl w:ilvl="5" w:tplc="22600CEA">
      <w:start w:val="1"/>
      <w:numFmt w:val="lowerRoman"/>
      <w:lvlText w:val="%6."/>
      <w:lvlJc w:val="right"/>
      <w:pPr>
        <w:ind w:left="4309" w:hanging="180"/>
      </w:pPr>
    </w:lvl>
    <w:lvl w:ilvl="6" w:tplc="C37881EE">
      <w:start w:val="1"/>
      <w:numFmt w:val="decimal"/>
      <w:lvlText w:val="%7."/>
      <w:lvlJc w:val="left"/>
      <w:pPr>
        <w:ind w:left="5029" w:hanging="360"/>
      </w:pPr>
    </w:lvl>
    <w:lvl w:ilvl="7" w:tplc="2BE0AA70">
      <w:start w:val="1"/>
      <w:numFmt w:val="lowerLetter"/>
      <w:lvlText w:val="%8."/>
      <w:lvlJc w:val="left"/>
      <w:pPr>
        <w:ind w:left="5749" w:hanging="360"/>
      </w:pPr>
    </w:lvl>
    <w:lvl w:ilvl="8" w:tplc="2C96C020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09D7E26"/>
    <w:multiLevelType w:val="hybridMultilevel"/>
    <w:tmpl w:val="9C0CF388"/>
    <w:lvl w:ilvl="0" w:tplc="5428DA82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66BA82E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DDEF8B6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 w:tplc="1E56101E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 w:tplc="B42479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99A6D6C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 w:tplc="50B6D7E2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 w:tplc="7390CF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0CE6080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BF237B6"/>
    <w:multiLevelType w:val="multilevel"/>
    <w:tmpl w:val="4E4C0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D8"/>
    <w:rsid w:val="000005C6"/>
    <w:rsid w:val="0011075A"/>
    <w:rsid w:val="001272D8"/>
    <w:rsid w:val="008C4EA7"/>
    <w:rsid w:val="00B2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B97E7-6471-45C6-A906-FE5096F5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FFFF" w:themeColor="text1" w:themeTint="0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0" w:space="0" w:color="auto"/>
          <w:left w:val="single" w:sz="4" w:space="0" w:color="FFFFFF" w:themeColor="text1" w:themeTint="0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FFFF" w:themeColor="accent1" w:themeTint="0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0" w:space="0" w:color="auto"/>
          <w:left w:val="single" w:sz="4" w:space="0" w:color="FFFFFF" w:themeColor="accent1" w:themeTint="0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FFFF" w:themeColor="accent2" w:themeTint="0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0" w:space="0" w:color="auto"/>
          <w:left w:val="single" w:sz="4" w:space="0" w:color="FFFFFF" w:themeColor="accent2" w:themeTint="0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FFFF" w:themeColor="accent3" w:themeTint="0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0" w:space="0" w:color="auto"/>
          <w:left w:val="single" w:sz="4" w:space="0" w:color="FFFFFF" w:themeColor="accent3" w:themeTint="0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FFFF" w:themeColor="accent4" w:themeTint="0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0" w:space="0" w:color="auto"/>
          <w:left w:val="single" w:sz="4" w:space="0" w:color="FFFFFF" w:themeColor="accent4" w:themeTint="0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FFFF" w:themeColor="accent5" w:themeTint="0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0" w:space="0" w:color="auto"/>
          <w:left w:val="single" w:sz="4" w:space="0" w:color="FFFFFF" w:themeColor="accent5" w:themeTint="0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FFFF" w:themeColor="accent6" w:themeTint="0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0" w:space="0" w:color="auto"/>
          <w:left w:val="single" w:sz="4" w:space="0" w:color="FFFFFF" w:themeColor="accent6" w:themeTint="0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</w:tblBorders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</w:tblBorders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text1" w:themeTint="00"/>
      </w:tblBorders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FFFF" w:themeColor="text1" w:themeTint="0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0" w:space="0" w:color="auto"/>
          <w:left w:val="single" w:sz="4" w:space="0" w:color="FFFFFF" w:themeColor="text1" w:themeTint="0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2" w:themeTint="00"/>
      </w:tblBorders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FFFF" w:themeColor="accent2" w:themeTint="0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0" w:space="0" w:color="auto"/>
          <w:left w:val="single" w:sz="4" w:space="0" w:color="FFFFFF" w:themeColor="accent2" w:themeTint="0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3" w:themeTint="00"/>
      </w:tblBorders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FFFF" w:themeColor="accent3" w:themeTint="0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0" w:space="0" w:color="auto"/>
          <w:left w:val="single" w:sz="4" w:space="0" w:color="FFFFFF" w:themeColor="accent3" w:themeTint="0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4" w:themeTint="00"/>
      </w:tblBorders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FFFF" w:themeColor="accent4" w:themeTint="0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0" w:space="0" w:color="auto"/>
          <w:left w:val="single" w:sz="4" w:space="0" w:color="FFFFFF" w:themeColor="accent4" w:themeTint="0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5" w:themeTint="00"/>
      </w:tblBorders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FFFF" w:themeColor="accent5" w:themeTint="0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0" w:space="0" w:color="auto"/>
          <w:left w:val="single" w:sz="4" w:space="0" w:color="FFFFFF" w:themeColor="accent5" w:themeTint="0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6" w:themeTint="00"/>
      </w:tblBorders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FFFF" w:themeColor="accent6" w:themeTint="0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0" w:space="0" w:color="auto"/>
          <w:left w:val="single" w:sz="4" w:space="0" w:color="FFFFFF" w:themeColor="accent6" w:themeTint="0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tGen00">
    <w:name w:val="StGen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c">
    <w:name w:val="Body Text"/>
    <w:basedOn w:val="a"/>
    <w:link w:val="afd"/>
    <w:uiPriority w:val="1"/>
    <w:qFormat/>
    <w:rsid w:val="00110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sid w:val="0011075A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334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POXwQT+wL6ZerEiGq7tAlFtqHQ==">AMUW2mWKHp5lrItcFIfQO+owUUpziRQ6IklPmIYkqkkZu0asS/z0O2u8REaX2L7HTXojDp98ftc1n+h71K38Dh2M8BYzSWma3FdRCfu5sMO+cDFjb5efZ2hS4Np4Rnn4O3hm+nS3y8RBdIsfg9wgF2DLnVdBdrfLW/woRhOJeso2ikW0BlScFgI=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Учетная запись Майкрософт</cp:lastModifiedBy>
  <cp:revision>2</cp:revision>
  <dcterms:created xsi:type="dcterms:W3CDTF">2023-11-12T15:07:00Z</dcterms:created>
  <dcterms:modified xsi:type="dcterms:W3CDTF">2023-11-12T15:07:00Z</dcterms:modified>
</cp:coreProperties>
</file>