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Theme="minorHAnsi" w:hAnsiTheme="minorHAnsi" w:eastAsiaTheme="minorHAnsi" w:cstheme="minorBidi"/>
          <w:sz w:val="22"/>
          <w:szCs w:val="22"/>
          <w:lang w:eastAsia="en-US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40" w:lineRule="auto"/>
            <w:rPr>
              <w:rFonts w:ascii="Times New Roman" w:hAnsi="Times New Roman" w:eastAsia="Arial Unicode MS" w:cs="Times New Roman"/>
              <w:sz w:val="56"/>
              <w:szCs w:val="56"/>
              <w:u w:val="none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  <w:u w:val="none"/>
            </w:rPr>
            <w:t xml:space="preserve">КОНКУРСНОЕ ЗАДАНИЕ КОМПЕТЕНЦИИ</w:t>
          </w:r>
          <w:r>
            <w:rPr>
              <w:u w:val="none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56"/>
              <w:szCs w:val="56"/>
              <w:u w:val="none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  <w:u w:val="none"/>
            </w:rPr>
            <w:t xml:space="preserve">«</w:t>
          </w:r>
          <w:r>
            <w:rPr>
              <w:rFonts w:ascii="Times New Roman" w:hAnsi="Times New Roman" w:eastAsia="Arial Unicode MS" w:cs="Times New Roman"/>
              <w:sz w:val="56"/>
              <w:szCs w:val="56"/>
              <w:u w:val="none"/>
            </w:rPr>
            <w:t xml:space="preserve">ОБСЛУЖИВАНИЕ АВИАЦИОННОЙ ТЕХНИКИ</w:t>
          </w:r>
          <w:r>
            <w:rPr>
              <w:rFonts w:ascii="Times New Roman" w:hAnsi="Times New Roman" w:eastAsia="Arial Unicode MS" w:cs="Times New Roman"/>
              <w:sz w:val="56"/>
              <w:szCs w:val="56"/>
              <w:u w:val="none"/>
            </w:rPr>
            <w:t xml:space="preserve">»</w:t>
          </w:r>
          <w:r>
            <w:rPr>
              <w:u w:val="none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  <w:u w:val="none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  <w:u w:val="none"/>
            </w:rPr>
            <w:t xml:space="preserve">ЮНИОРЫ</w:t>
          </w:r>
          <w:r>
            <w:rPr>
              <w:u w:val="none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</w:t>
      </w:r>
      <w:r>
        <w:rPr>
          <w:rFonts w:ascii="Times New Roman" w:hAnsi="Times New Roman" w:cs="Times New Roman"/>
          <w:lang w:bidi="en-US"/>
        </w:rPr>
        <w:t xml:space="preserve">23</w:t>
      </w:r>
      <w:r>
        <w:rPr>
          <w:rFonts w:ascii="Times New Roman" w:hAnsi="Times New Roman" w:cs="Times New Roman"/>
          <w:lang w:bidi="en-US"/>
        </w:rPr>
        <w:t xml:space="preserve">г.</w:t>
      </w:r>
      <w:r/>
    </w:p>
    <w:p>
      <w:pPr>
        <w:pStyle w:val="824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24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778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776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4422965" w:anchor="_Toc124422965" w:history="1">
        <w:r>
          <w:rPr>
            <w:rStyle w:val="774"/>
            <w:rFonts w:ascii="Times New Roman" w:hAnsi="Times New Roman"/>
          </w:rPr>
          <w:t xml:space="preserve"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01"/>
        <w:rPr>
          <w:rFonts w:asciiTheme="minorHAnsi" w:hAnsiTheme="minorHAnsi" w:eastAsiaTheme="minorEastAsia" w:cstheme="minorBidi"/>
          <w:szCs w:val="22"/>
        </w:rPr>
      </w:pPr>
      <w:r/>
      <w:hyperlink w:tooltip="#_Toc124422966" w:anchor="_Toc124422966" w:history="1">
        <w:r>
          <w:rPr>
            <w:rStyle w:val="774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01"/>
        <w:rPr>
          <w:rFonts w:asciiTheme="minorHAnsi" w:hAnsiTheme="minorHAnsi" w:eastAsiaTheme="minorEastAsia" w:cstheme="minorBidi"/>
          <w:szCs w:val="22"/>
        </w:rPr>
      </w:pPr>
      <w:r/>
      <w:hyperlink w:tooltip="#_Toc124422967" w:anchor="_Toc124422967" w:history="1">
        <w:r>
          <w:rPr>
            <w:rStyle w:val="774"/>
          </w:rPr>
          <w:t xml:space="preserve">1.2. ПЕРЕЧЕНЬ ПРОФЕССИОНАЛЬНЫХ ЗАДАЧ СПЕЦИАЛИСТА ПО КОМПЕТЕНЦИИ «</w:t>
        </w:r>
        <w:r>
          <w:rPr>
            <w:rStyle w:val="774"/>
          </w:rPr>
          <w:t xml:space="preserve">Обслуживание авиационной техники</w:t>
        </w:r>
        <w:r>
          <w:rPr>
            <w:rStyle w:val="774"/>
          </w:rPr>
          <w:t xml:space="preserve">»</w:t>
        </w:r>
        <w:r>
          <w:tab/>
        </w:r>
        <w:r>
          <w:fldChar w:fldCharType="begin"/>
        </w:r>
        <w:r>
          <w:instrText xml:space="preserve"> PAGEREF _Toc124422967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01"/>
        <w:rPr>
          <w:rFonts w:asciiTheme="minorHAnsi" w:hAnsiTheme="minorHAnsi" w:eastAsiaTheme="minorEastAsia" w:cstheme="minorBidi"/>
          <w:szCs w:val="22"/>
        </w:rPr>
      </w:pPr>
      <w:r/>
      <w:hyperlink w:tooltip="#_Toc124422968" w:anchor="_Toc124422968" w:history="1">
        <w:r>
          <w:rPr>
            <w:rStyle w:val="774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/>
        <w:r>
          <w:fldChar w:fldCharType="separate"/>
        </w:r>
        <w:r>
          <w:t xml:space="preserve">15</w:t>
        </w:r>
        <w:r>
          <w:fldChar w:fldCharType="end"/>
        </w:r>
      </w:hyperlink>
      <w:r/>
      <w:r/>
    </w:p>
    <w:p>
      <w:pPr>
        <w:pStyle w:val="801"/>
        <w:rPr>
          <w:rFonts w:asciiTheme="minorHAnsi" w:hAnsiTheme="minorHAnsi" w:eastAsiaTheme="minorEastAsia" w:cstheme="minorBidi"/>
          <w:szCs w:val="22"/>
        </w:rPr>
      </w:pPr>
      <w:r/>
      <w:hyperlink w:tooltip="#_Toc124422969" w:anchor="_Toc124422969" w:history="1">
        <w:r>
          <w:rPr>
            <w:rStyle w:val="774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_Toc124422969 \h </w:instrText>
        </w:r>
        <w:r/>
        <w:r>
          <w:fldChar w:fldCharType="separate"/>
        </w:r>
        <w:r>
          <w:t xml:space="preserve">16</w:t>
        </w:r>
        <w:r>
          <w:fldChar w:fldCharType="end"/>
        </w:r>
      </w:hyperlink>
      <w:r/>
      <w:r/>
    </w:p>
    <w:p>
      <w:pPr>
        <w:pStyle w:val="801"/>
        <w:rPr>
          <w:rFonts w:asciiTheme="minorHAnsi" w:hAnsiTheme="minorHAnsi" w:eastAsiaTheme="minorEastAsia" w:cstheme="minorBidi"/>
          <w:szCs w:val="22"/>
        </w:rPr>
      </w:pPr>
      <w:r/>
      <w:hyperlink w:tooltip="#_Toc124422970" w:anchor="_Toc124422970" w:history="1">
        <w:r>
          <w:rPr>
            <w:rStyle w:val="774"/>
          </w:rPr>
          <w:t xml:space="preserve"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/>
        <w:r>
          <w:fldChar w:fldCharType="separate"/>
        </w:r>
        <w:r>
          <w:t xml:space="preserve">18</w:t>
        </w:r>
        <w:r>
          <w:fldChar w:fldCharType="end"/>
        </w:r>
      </w:hyperlink>
      <w:r/>
      <w:r/>
    </w:p>
    <w:p>
      <w:pPr>
        <w:pStyle w:val="801"/>
        <w:rPr>
          <w:rFonts w:asciiTheme="minorHAnsi" w:hAnsiTheme="minorHAnsi" w:eastAsiaTheme="minorEastAsia" w:cstheme="minorBidi"/>
          <w:szCs w:val="22"/>
        </w:rPr>
      </w:pPr>
      <w:r/>
      <w:hyperlink w:tooltip="#_Toc124422971" w:anchor="_Toc124422971" w:history="1">
        <w:r>
          <w:rPr>
            <w:rStyle w:val="774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/>
        <w:r>
          <w:fldChar w:fldCharType="separate"/>
        </w:r>
        <w:r>
          <w:t xml:space="preserve">20</w:t>
        </w:r>
        <w:r>
          <w:fldChar w:fldCharType="end"/>
        </w:r>
      </w:hyperlink>
      <w:r/>
      <w:r/>
    </w:p>
    <w:p>
      <w:pPr>
        <w:pStyle w:val="801"/>
        <w:rPr>
          <w:rFonts w:asciiTheme="minorHAnsi" w:hAnsiTheme="minorHAnsi" w:eastAsiaTheme="minorEastAsia" w:cstheme="minorBidi"/>
          <w:szCs w:val="22"/>
        </w:rPr>
      </w:pPr>
      <w:r/>
      <w:hyperlink w:tooltip="#_Toc124422972" w:anchor="_Toc124422972" w:history="1">
        <w:r>
          <w:rPr>
            <w:rStyle w:val="774"/>
          </w:rPr>
          <w:t xml:space="preserve">2.1. </w:t>
        </w:r>
        <w:r>
          <w:rPr>
            <w:rStyle w:val="774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/>
        <w:r>
          <w:fldChar w:fldCharType="separate"/>
        </w:r>
        <w:r>
          <w:t xml:space="preserve">21</w:t>
        </w:r>
        <w:r>
          <w:fldChar w:fldCharType="end"/>
        </w:r>
      </w:hyperlink>
      <w:r/>
      <w:r/>
    </w:p>
    <w:p>
      <w:pPr>
        <w:pStyle w:val="776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/>
      <w:hyperlink w:tooltip="#_Toc124422973" w:anchor="_Toc124422973" w:history="1">
        <w:r>
          <w:rPr>
            <w:rStyle w:val="774"/>
            <w:rFonts w:ascii="Times New Roman" w:hAnsi="Times New Roman"/>
          </w:rPr>
          <w:t xml:space="preserve">3. Приложения</w:t>
        </w:r>
        <w:r>
          <w:tab/>
        </w:r>
        <w:r>
          <w:fldChar w:fldCharType="begin"/>
        </w:r>
        <w:r>
          <w:instrText xml:space="preserve"> PAGEREF _Toc124422973 \h </w:instrText>
        </w:r>
        <w:r/>
        <w:r>
          <w:fldChar w:fldCharType="separate"/>
        </w:r>
        <w:r>
          <w:t xml:space="preserve">21</w:t>
        </w:r>
        <w:r>
          <w:fldChar w:fldCharType="end"/>
        </w:r>
      </w:hyperlink>
      <w:r/>
      <w:r/>
    </w:p>
    <w:p>
      <w:pPr>
        <w:pStyle w:val="778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ВС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-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Воздушное судно</w:t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ТО – Техническое обслуживание</w:t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ТД - Техническая диагностика </w:t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НК – Неразрушающий контроль</w:t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НМК – Неразрушающие методы контроля</w:t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ЕСКД -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Единая система конструкторской документации</w:t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ЛКП -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Лакокрасочное покрытие</w:t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АиРЭО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виационн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ое и радиоэлектронное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оборудовани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</w:t>
      </w:r>
      <w:r/>
    </w:p>
    <w:p>
      <w:pPr>
        <w:pStyle w:val="778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</w:r>
      <w:r/>
    </w:p>
    <w:p>
      <w:pPr>
        <w:pStyle w:val="77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/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  <w:r/>
      <w:r/>
    </w:p>
    <w:p>
      <w:pPr>
        <w:pStyle w:val="803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/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/>
      <w:r/>
    </w:p>
    <w:p>
      <w:pPr>
        <w:pStyle w:val="804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2" w:name="_Toc12442296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2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Обслуживание авиационной техники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745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4" w:name="_Toc78885652"/>
      <w:r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«</w:t>
      </w:r>
      <w:r>
        <w:rPr>
          <w:rFonts w:ascii="Times New Roman" w:hAnsi="Times New Roman"/>
          <w:color w:val="000000"/>
          <w:sz w:val="24"/>
          <w:u w:val="single"/>
          <w:lang w:val="ru-RU"/>
        </w:rPr>
        <w:t xml:space="preserve">Обслуживание авиационной техники</w:t>
      </w:r>
      <w:r>
        <w:rPr>
          <w:rFonts w:ascii="Times New Roman" w:hAnsi="Times New Roman"/>
          <w:color w:val="000000"/>
          <w:sz w:val="24"/>
          <w:lang w:val="ru-RU"/>
        </w:rPr>
        <w:t xml:space="preserve">»</w:t>
      </w:r>
      <w:bookmarkEnd w:id="5"/>
      <w:r/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tbl>
      <w:tblPr>
        <w:tblW w:w="5245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0"/>
        <w:gridCol w:w="8012"/>
        <w:gridCol w:w="1459"/>
      </w:tblGrid>
      <w:tr>
        <w:trPr/>
        <w:tc>
          <w:tcPr>
            <w:shd w:val="clear" w:color="auto" w:fill="92d050"/>
            <w:tcW w:w="3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процессом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Политику компании в области качества;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Процедуры закупки компонентов в соответствии с Политикой компании;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Экономический эффект от сокращения стоимости, временных задержек и расхода материалов при замене компонентов;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Общие сведения о конструкции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Случаи, когда необходимо использовать средства индивидуальной защиты, в том числе защитную обувь, средства защиты органов зрения и слуха, перчатки и респираторы;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Случаи, когда необходимо использовать электростатическое диссипативное оборудование во избежание повреждения систем;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Соблюдение правил электробезопасности при работах на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Назначение, использование, уход, техническое обслуживание и хранение всех инструментов и оборудования в соответствии с предписаниями по их безопасному применению;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Назначение, использование, уход и безопасное хранение материалов;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Меры в отношении использования экологически чистых материалов, минимизации отходов и перерабатываемых материалов;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Принципы организации порядка выполнения работ, распределения времени и анализа затрат;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Важность проведения исследований, планирования, точности, контроля и внимания к деталям в отношении всех рабочих приемов;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Важность работы в команде с целью своевременного и экономичного выполнения задания;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Индивидуальные роли и обязанности членов команды;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Принципы сотрудничества в командной среде для разработки плана действий по обеспечению безопасности, летной годности, своевременному и экономически эффективному выполнению заданий.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Важность установления и поддержания доверия со стороны заказчика;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Важность коммуникации со специалистами других служб для обеспечения производственного процесса;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Потребности служб обеспечения производства, например, логистических и инжиниринговых служб, технической поддержки производителей;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Ценность создания и поддержания продуктивных рабочих отношений;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Важность информации о неисправностях получаемой от экипажа;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Одобренные производственные процессы;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Важность быстрого разрешения конфликтных ситуаций и недопонимания;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Роль "Человеческого фактора" в производственных отношениях;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Проблемы, которые могут возникнуть в ходе рабочего процесса;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Международные стандарты летной годности;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Диагностические подходы к решению вопросов;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Тенденции и направления развития в отрасли, включая новые материалы, методы и технологии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Тщательно соблюдать стандарты и правила техники безопасности и охраны труда;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и использовать соответствующие средства индивидуальной защиты, включая безопасную обувь, защиту органов зрения и слуха;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Подбирать, применять, очищать, обслуживать и хранить рабочие инструменты и оборудование безопасным образом;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Выбирать, использовать и хранить все материалы, соблюдая меры предосторожности;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объем работ в соответствии с выданным пакетом производственной документации и разрабатывать план по его выполнению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наиболее экономичный способ выполнения работ с точки зрения финансовых, временных и материальных затрат;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одобренные альтернативные материалы для работ из имеющегося запаса;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Максимально эффективно организовывать рабочую зону, содержать ее в чистоте и порядке;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Точно выполнять измерения и регулярно проверять их;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Последовательно и неуклонно следовать регламентированным процессам и процедурам, используя последнюю редакцию утвержденных документов;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Предвидеть возможные риски простоя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техобслуживании, которые могут возникнуть при выполнении сложных работ;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экономическую оценку неисправности с точки зрения финансовых, временных и материальных затрат;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Осознавать границы своих полномочий;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стандарты высокого качества рабочих процессов;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Планировать порядок и организовывать выполнение работ в командных условиях для обеспечения безопасного и успешного выполнения задачи в течение заданного периода времени;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требования заказчика и выдавать рекомендации, соответствующие или превосходящие их с точки зрения экономии бюджета заказчика;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оценку времени выполнения работ;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Положительно влиять на работу коллег в команде, например, для обеспечения безопасности;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Инициировать дискуссии по различным вопросам,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производственных и технических вопросов;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Своевременно информировать коллег о планируемых работах по техническому обслуживанию;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Готовить доклад прибывающим экипажам (заказчикам) о проделанных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 работах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Поощрять выполнение проверки и контроля, как собственной работы, так и работы коллег, на соответствие требованиям международных стандартов;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в соответствии с требованиями такого понятия, как «Человеческий фактор»;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Регулярно контролировать рабочий процесс,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минимизируя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возникновения производственных потерь;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Перепроверять полученную информацию для предотвращения возникновения сложных ситуаций;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Быстро распознавать и понимать возникающие проблемы, а также самостоятельно осуществлять процесс их устранения с использованием последних редакций эксплуатационно-технической и другой документации;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полученную информацию для выявления первопричин неисправности;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Настаивать на решении вопросов, а не на игнорировании их;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Предлагать идеи по усовершенствованию производственного процесса, внедрять новые методы и приветствовать изменения;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потенциал новых технологий;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документацией, сертификация и допуск ВС к эксплуатации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должен знать и понимать: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Руководство по деятельности компании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Классификацию разделов АТА или аналогичных документов;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Руководство по ремонту конструкции самолета, циркуляр АС43-13 или аналогичные документы;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Руководство по неразрушающим методам контроля;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Смысл и содержание Карт на работу (Карт-наряд) по техобслуживанию;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отечественных, международных, отраслевых, нормативных документов, регламентирующих деятельность организаций по ТО и ремонту авиационной техники гражданской авиации в области проведения технической диагностики и неразрушающих методов контроля (ТДиНК);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Руководство по эксплуатации компонентов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Нормативные и методические документы по НК и метрологическому обеспечению средств измерений, рабочие документы (инструкции, методики, программы и т.п.), конкретизирующие отдельные направления работ по данным направлениям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требования к чертежам (ЕСКД);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Правильно 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чертежи, графики, а также процедуры руководства по эксплуатации и ремонту электроцепей и программных компонентов;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Читать технические чертежи производителя при выполнении работ;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Сопроводительную документацию к запасным частям и расходным материалам (сертификаты, ярлыки, этикетки)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Важность соблюдения рекомендаций, указанных в действующей редакции эксплуатационной и другой документации в процессе решения вопросов;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Законодательство, требования и документацию по охране труда и технике безопасности;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Утвержденные руководства, информацию от производителей и государственных органов;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Значение сертификации выполненной работы в соответствии с международным стандартом летной годности;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Роль и ответственность сертифицирующего техника или инженера, как лица, подтверждающего годность воздушного судна к эксплуатации;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Значимость четкого и правильного оформления отчетных документов о работе;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Порядок представления отчетов о повреждениях;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Корректные процедуры технического обслуживания для допуска ВС к дальнейшей эксплуатации, включая перечень минимально необходимого оборудования (MEL);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Назначение Перечня минимально необходимого оборудования (MEL) или эквивалентного документа в отношении обеспечения вылета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начение следующих формулировок допуска к эксплуатации: «Указанное техническое обслуживание было выполнено в соответствии с действующими стандартами летной годности»; «ВС исправно и годно для эксплуатации в соответствии со своей типовой конструкцией» и др.;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Влияние отложенных дефектов на дальнейшее обслуживание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Влияние ремонтов и доработок на расчет центровки самолета по процедурам изготовителя и определять необходимость дополнительного проведения взвешивания и центровки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Документацию, выдаваемую для выполнения ТО включая карты-наряды разработанных на основании руководства по эксплуатации производителя;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и порядок заполнения документации по установленной форме;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должен уметь: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описание дефектов и методов их устранения в ведомостях и картах-нарядах, следуя процедурам руководства по эксплуатации с учетом последних изменений;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соответствующую главу Руководства по эксплуатации и другие утвержденные эксплуатационные и производственные документы,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карты-наряд с заданиями, обеспечивающие процесс проведения планируемых работ;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Руководство производителя по ремонту конструкции планера или его эквивалент;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Грамотно интерпретировать производственные чертежи, схемы систем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Аккуратно заполнять соответствующую документацию для отображения статуса выполненной части работ;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Ясно и четко фиксировать в документах обнаруженные неисправности и обращать на них внимание контролирующего персонала;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Оформлять карты выполненных работ, протоколы, технические акты и другие сертификационные документы по результатам выполненных работ;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Сертифицировать выполненную работу в соответствии со стандартами летной годности.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Гарантировать, что ВС исправно и пригодно к эксплуатации, а также определять необходимость дополнительного технического обслуживания для обеспечения летной годности;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записи в бортжурнал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выполненного ТО и готовности к вылету) по выполненному объему работ в соответствии с производственной документацией отражающие текущее состояние воздушного судна;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Грамотно, аккуратно и разборчиво вносить записи в сертификационные документы;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 и проверка технического состояния ВС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должен знать и понимать: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Виды осмотров ВС, их назначение и правила выполнения;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Обязанности по обеспечению летной годности;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Классификацию дефектов, степень их влияния на летную годность ВС, правильную интерпретацию дефектов и их описание;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Принципы выполнения осмотра кабельной сети воздушного судна;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Статистику характерных для данного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 отказов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неисправностей;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технической эксплуатации систем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использования специального инструмента для осмотра, использования средств аэродромного и наземного оборудования;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Средства неразрушающего контроля (НК) и вспомогательное оборудование, используемое при проведении работ;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применения оборудования по НК и методы проведения контроля;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Виды Неразрушающих методов контроля (НМК), их выбор и применение;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Расположение мест и зон контроля на объектах, свойства применяемых материалов и виды обработки/покрытия на контролируемой детали, а также критерии отбраковки деталей, установленные технической документацией на данный компонент;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должен уметь: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Обеспечивать доступ к осматриваемым зонам, компонентам;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все виды осмотров ВС, его отсеков и компонентов (общий визуальный, специальный и специальный детальный осмотры);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осмотр кабельной сети воздушного судна;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функциональную проверку систем для определения их работоспособности;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инструментом для выполнения осмотра; 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средствами наземного обслуживания (стремянки, колодки, швартовочные приспособления, источники тока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контроль и обеспечивать исправность, правильную настройку, сохранность и использование оборудования по НК в соответствии с его руководством по эксплуатации;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работы по технической диагностике и неразрушающему контролю (ТДиНК) на ВС, авиадвигателях и компонентах в соответствии с их руководствами по технической эксплуатации, а также руководством по ремонту конструкции планера и неразрушающим методам контроля;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необходимость применения того или иного вида НМК;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Определять, безопасно ли воздушное судно для полетов или требуется дальнейший осмотр в соответствие с листом проверок;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элементами конструкции ВС из цветных металлов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Виды применяемых в авиастроении металлов, их характеристики и маркировку;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Способы расчета параметров изготовления и ремонта детали из цветных металлов;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определения параметров повреждений конструкций из цветных металлов, возможность их ремонта;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Способы расчета прочностных характеристик деталей из цветных металлов;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Виды крепежных элементов, их назначение и маркировку;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Технологии ремонта, изготовления и обработки элементов конструкции ВС из цветных металлов;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Виды, правила использования и настройку рабочего инструмента и оборудования при работе с цветными металлами;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использования измерительных приборов и инструмента;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Методы ремонта конструкции ВС из цветных металлов;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виды повреждений, необходимость и возможность ремонта конструкции из цветных металлов, его процедуру  с учетом характеристик материалов;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•Пользоваться всеми видами инструмента и оборудования для работы с цветными металлами в соответствии с правилами его эксплуатации;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ремонт конструкции ВС из цветных металлов в соответствии с действующей типовой документацией производителя, а также циркуляра АС43-13;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Рассчитывать параметры изготовляемой или ремонтируемой детали из цветных металлов с требуемой точностью;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требуемым уровнем качества: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контроль исправности, правильную настройку и использование оборудования при выполнении работ с цветным металлом в соответствии с его руководством по эксплуатации;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разметку деталей из цветных металлов;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резку металла;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обработку (опиливание, шабрение) деталей из цветных металлов (точность, шероховатость);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сверление,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зенкование,  развертку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в деталях из цветных металлов;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Устанавливать и снимать крепеж в элементах и деталях конструкции ВС из цветных металлов;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сборку деталей из цветных металлов;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Наносить и восстанавливать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лако-красочное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деталей конструкции ВС из цветных металлов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подходящие параметры крепежа (тип, количество, расположение) в соответствии с требованиями обеспечения прочности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элементами конструкции ВС из композитных материалов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Различные виды композитных материалов, применяемых в авиастроении и их характеристики;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Принципы безопасной работы с волокнистыми наполнителями различной природы, смолами, полимерами, вспомогательными веществами, используемыми в технологическом процессе;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Виды и характеристика расходных материалов и компонентов, используемых при ремонте и изготовлении композитных конструкций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Виды оборудования, оснастки и инструмента, применяемого при работе с композитными материалами;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Виды и характеристика повреждений конструкций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композитных материалов 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определения параметров повреждений конструкций ВС, возможность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ремонта 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использования измерительных приборов и инструмента;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Технологии ремонта и изготовления композитных конструкций, их преимущества и недостатки;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Требования прочностных, весовых и иных характеристик, предъявляемые к ремонтируемой композитной конструкции, как к элементу ВС;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вид повреждения, необходимость и возможность ремонта, его процедуру с учетом характеристик материалов, в соответствии с действующей типовой документацией производителя, а также циркуляра АС43-13;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•Пользоваться всеми видами инструмента и оборудования для работы с композитными материалами в соответствии с правилами его эксплуатации;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расчет необходимого количества расходного материала, используемого при ремонте и/ или изготовлении композитных конструкций;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Рассчитывать необходимое количество используемых основных и вспомогательных расходных материала для ремонта/изготовления композитных конструкций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контроль исправности, правильную настройку и использование оборудования при выполнении работ с композитными материалами в соответствии с его руководством по эксплуатации;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Готовить клеевые, герметизирующие и армирующие смеси и применять их в соответствии с технологией работ;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раскрой тканей в соответствии с конструкторской документацией (вручную или с использованием автоматизированного оборудования);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Подготавливать оснастку к выкладке материалов;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Выкладывать ткани в соответствии с конструкторской документацией и особенностями выбранной технологии формования различной конфигурации и кривизны;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 деталей ВС из композитных материалов;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сборку технологических пакетов и изготовление вакуумных мешков;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вакуумное формование, вакуумную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инфузию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формование в автоклаве, печи;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обработку (фрезерование, сверление) и шлифовку деталей из композитных материалов;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Размещать закладные элементы в изделии при необходимости;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Обеспечивать пропитку наполнителя полимером по выбранной технологии, производить выведение излишков материала;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Обеспечивать требуемые температурные режимы при формовании и отверждении;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Отделять изделие от оснастки, удалять вакуумные и вспомогательные материалы без нанесения повреждений изделию и оснастке;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постобработку деталей, в соответствии с требованиями конструкторской документации, с использованием ручных средств механообработки;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разметку согласно чертежу и выбирать инструмент и оборудование для финишной обработки деталей из композитных материалов;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шпатлевку и восстанавливать ЛКП деталей конструкции ВС из композитных материалов;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Устанавливать и снимать крепежные элементы различных типов в конструкциях ВС из композитных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механическими компонентами и системами ВС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должен знать и понимать: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Одобренные процедуры демонтажа, монтажа и проверки (регулировки) механических блоков и систем ВС и двигателей;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методы поиска и устранения неисправностей, применяемые ко всем механическим компонентам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Взаимодействие систем ВС в отношении сложносоставных дефектов;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Взаимодействие механических, электрических и электронных компонентов в системах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использования инструмента общего и специального назначения, измерительных приборов, используемых при демонтаже, монтаже и проверке (регулировке) механических блоков и систем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Маркировку трубопроводов и компонентов систем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Специфические особенности расстыковки-стыковки трубопроводов и компонентов систем ВС (линии под давлением, элементы системы управления);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чистоты и сохранности герметичных линий и чувствительных элементов систем управления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Виды и назначение ГСМ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должен уметь: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Правильно интерпретировать блок-схемы, чертежи, графики и процедуры руководства по эксплуатации механических компонентов систем ВС;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бортовыми системами ВС, позволяющими определить неисправность/исправность механических компонентов его систем;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стандартные технологические процессы, относящиеся к планеру ВС и двигателям;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контроль исправности, правильную настройку и использование по назначению оборудования и инструментов при выполнении демонтажно-монтажных работ и регулировки механических блоков и систем ВС соответствии с его руководством по эксплуатации;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Заменять механические компоненты систем ВС и двигателей в соответствии с процедурами производителя;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неисправные механические компоненты с помощью системного анализа;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демонтаж-монтаж механических компонентов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Устанавливать и снимать крепежные элементы различных типов;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Снимать и устанавливать стопорные элементы различных видов;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сборку деталей, узлов;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очистку и смазку компонентов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регулировку, калибровку и настройку регулируемых компонентов ВС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Выдавать рекомендации по ремонту и выполнению дополнительных функциональных проверок заменяемых компонентов;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Обеспечивать чистоту и сохранность демонтируемых компонентов • Выполнять установку металлизации элементов конструкции ВС и компонентов его систем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компонентами АиРЭО ВС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 и цифровой электроники;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методы поиска и устранения неисправностей, применяемые ко всем компонентам систем АиРЭО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Условные обозначения элементов электроцепи на электрических схемах;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Принципы формирования двоичного и шестнадцатеричного кода передачи информации в цифровых линиях связи систем АиРЭО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использования электроинструмента и измерительных приборов и оборудования;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использования средств наземного оборудования для выполнения наземных проверок исправности АиРЭО;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Характеристику и маркировку применяемых материалов, запасных частей и комплектующих для сборки, монтажа и ремонта электроцепи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безопасного использования контрольно-проверочной аппаратуры при проведении наземных проверок электрооборудования;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Влияние электростатического разряда (ЭСР) на чувствительные компоненты и способы уменьшения или устранения потенциального ущерба;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Принципы взаимодействия и обмена данными цифрового оборудования систем ВС и методы анализа цифровых линий связи;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Правильные процедуры демонтажа, осмотра, монтажа и проверки электрических и электронных блоков систем ВС;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1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бортовыми системами диагностики исправности ВС, позволяющими производить поиск неисправных компонентов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АиЭРО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(двоичные светодиодные индикаторы, алфавитно-цифровые дисплеи, коды отказов и т.д.);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Заменять электрические компоненты и составные части электроцепей ВС в соответствии с процедурами производителя;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Производить поиск и устранение неисправностей с помощью инструмента и электрооборудования;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Подтверждать статус исправности электрических систем с помощью оборудования встроенного контроля (BITE);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неисправные электрические компонент с помощью системного анализа;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анализ цифровых линий связи систем ВС, используя специальное оборудование;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Интерпретировать (переводить в десятичные значения) кодированные цифровые данные электронных блоков систем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Имитировать кодированный сигнал от датчиков систем, выдаваемый в электронные блоки для проверки функционирования;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Изготавливать электрический кабель (жгут) в соответствие с электросхемой;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Проверять работоспособность компонентов электроцепи (провода, тумблеры, сигнальные лампы, диоды, светодиоды, полупроводники, транзисторы, резисторы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прокладку, монтаж-демонтаж электрического кабеля (жгута) в соответствии с требованиями технической документации;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вязку проводов жгутов в соответствии с требованиями технической документацией;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резку и зачистку проводов;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пайку проводов (всех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),контактов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обжимку контактов, наконечников, муфт;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маркировку проводов и компонентов;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сборку-разборку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электросоединителей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(разъемов), плат;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демонтаж-монтаж элементов электроцепи и электрических компонентов ВС;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изоляцию проводов и контактов;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металлизацию проводов и защиту жгутов;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Устанавливать и снимать крепежные элементы электроцепи различных типов;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замеры сопротивления, напряжения, силы тока в электроцепи и её компонентах;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всеми видами электроинструмента в соответствии с правилами его эксплуатации;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специальным оборудованием по выполнению анализа цифровых линий связи;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Выдавать рекомендации по ремонту и выполнению дополнительных функциональных проверок электрооборудования ВС;                                          • Выполнять установку металлизации элементов конструкции ВС и компонентов его систем</w:t>
            </w:r>
            <w:r/>
          </w:p>
        </w:tc>
        <w:tc>
          <w:tcPr>
            <w:shd w:val="clear" w:color="auto" w:fill="auto"/>
            <w:tcW w:w="722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745"/>
        <w:ind w:firstLine="709"/>
        <w:jc w:val="both"/>
        <w:spacing w:after="0" w:line="276" w:lineRule="auto"/>
        <w:rPr>
          <w:rFonts w:ascii="Times New Roman" w:hAnsi="Times New Roman"/>
          <w:szCs w:val="28"/>
          <w:lang w:val="ru-RU"/>
        </w:rPr>
      </w:pPr>
      <w:r/>
      <w:bookmarkStart w:id="6" w:name="_Toc78885655"/>
      <w:r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color w:val="000000"/>
          <w:szCs w:val="28"/>
          <w:lang w:val="ru-RU"/>
        </w:rPr>
        <w:t xml:space="preserve">ТРЕБОВАНИЯ К СХЕМЕ ОЦЕНКИ</w:t>
      </w:r>
      <w:bookmarkEnd w:id="6"/>
      <w:r/>
      <w:bookmarkEnd w:id="7"/>
      <w:r/>
      <w:r/>
    </w:p>
    <w:p>
      <w:pPr>
        <w:pStyle w:val="783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783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783"/>
        <w:ind w:firstLine="709"/>
        <w:spacing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p>
      <w:pPr>
        <w:pStyle w:val="783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/>
    </w:p>
    <w:tbl>
      <w:tblPr>
        <w:tblStyle w:val="775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39"/>
        <w:gridCol w:w="1039"/>
        <w:gridCol w:w="1039"/>
        <w:gridCol w:w="1040"/>
        <w:gridCol w:w="1044"/>
        <w:gridCol w:w="2051"/>
      </w:tblGrid>
      <w:tr>
        <w:trPr>
          <w:jc w:val="center"/>
          <w:trHeight w:val="1538"/>
        </w:trPr>
        <w:tc>
          <w:tcPr>
            <w:gridSpan w:val="7"/>
            <w:shd w:val="clear" w:color="auto" w:fill="92d050"/>
            <w:tcW w:w="393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</w:t>
            </w:r>
            <w:r>
              <w:rPr>
                <w:b/>
                <w:sz w:val="22"/>
                <w:szCs w:val="22"/>
              </w:rPr>
              <w:t xml:space="preserve">/Модуль</w:t>
            </w:r>
            <w:r/>
          </w:p>
        </w:tc>
        <w:tc>
          <w:tcPr>
            <w:shd w:val="clear" w:color="auto" w:fill="92d050"/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</w:t>
            </w:r>
            <w:r>
              <w:rPr>
                <w:b/>
                <w:sz w:val="22"/>
                <w:szCs w:val="22"/>
              </w:rPr>
              <w:t xml:space="preserve">ТРЕБОВАНИЙ</w:t>
            </w:r>
            <w:r>
              <w:rPr>
                <w:b/>
                <w:sz w:val="22"/>
                <w:szCs w:val="22"/>
              </w:rPr>
              <w:t xml:space="preserve"> КОМПЕТЕНЦИИ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16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shd w:val="clear" w:color="auto" w:fill="00b050"/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shd w:val="clear" w:color="auto" w:fill="00b050"/>
            <w:tcW w:w="5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/>
          </w:p>
        </w:tc>
        <w:tc>
          <w:tcPr>
            <w:shd w:val="clear" w:color="auto" w:fill="00b050"/>
            <w:tcW w:w="1065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65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shd w:val="clear" w:color="auto" w:fill="f2f2f2" w:themeFill="background1" w:themeFillShade="F2"/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12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65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shd w:val="clear" w:color="auto" w:fill="f2f2f2" w:themeFill="background1" w:themeFillShade="F2"/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14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65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f2f2f2" w:themeFill="background1" w:themeFillShade="F2"/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14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65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f2f2f2" w:themeFill="background1" w:themeFillShade="F2"/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15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65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f2f2f2" w:themeFill="background1" w:themeFillShade="F2"/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12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65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shd w:val="clear" w:color="auto" w:fill="f2f2f2" w:themeFill="background1" w:themeFillShade="F2"/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18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65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14</w:t>
            </w:r>
            <w:r/>
          </w:p>
        </w:tc>
        <w:tc>
          <w:tcPr>
            <w:shd w:val="clear" w:color="auto" w:fill="f2f2f2" w:themeFill="background1" w:themeFillShade="F2"/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15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00b050"/>
            <w:tcW w:w="123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 w:themeFill="background1" w:themeFillShade="F2"/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18</w:t>
            </w:r>
            <w:r/>
          </w:p>
        </w:tc>
        <w:tc>
          <w:tcPr>
            <w:shd w:val="clear" w:color="auto" w:fill="f2f2f2" w:themeFill="background1" w:themeFillShade="F2"/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21</w:t>
            </w:r>
            <w:r/>
          </w:p>
        </w:tc>
        <w:tc>
          <w:tcPr>
            <w:shd w:val="clear" w:color="auto" w:fill="f2f2f2" w:themeFill="background1" w:themeFillShade="F2"/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18</w:t>
            </w:r>
            <w:r/>
          </w:p>
        </w:tc>
        <w:tc>
          <w:tcPr>
            <w:shd w:val="clear" w:color="auto" w:fill="f2f2f2" w:themeFill="background1" w:themeFillShade="F2"/>
            <w:tcW w:w="5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22</w:t>
            </w:r>
            <w:r/>
          </w:p>
        </w:tc>
        <w:tc>
          <w:tcPr>
            <w:shd w:val="clear" w:color="auto" w:fill="f2f2f2" w:themeFill="background1" w:themeFillShade="F2"/>
            <w:tcW w:w="5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21</w:t>
            </w:r>
            <w:r/>
          </w:p>
        </w:tc>
        <w:tc>
          <w:tcPr>
            <w:shd w:val="clear" w:color="auto" w:fill="f2f2f2" w:themeFill="background1" w:themeFillShade="F2"/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100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04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804"/>
        <w:ind w:firstLine="709"/>
        <w:jc w:val="both"/>
        <w:spacing w:before="0" w:after="0"/>
        <w:rPr>
          <w:rFonts w:ascii="Times New Roman" w:hAnsi="Times New Roman"/>
          <w:sz w:val="24"/>
        </w:rPr>
      </w:pPr>
      <w:r/>
      <w:bookmarkStart w:id="8" w:name="_Toc124422969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8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775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Осмотр и проверка технического состояния ВС</w:t>
            </w:r>
            <w:r/>
          </w:p>
        </w:tc>
        <w:tc>
          <w:tcPr>
            <w:shd w:val="clear" w:color="auto" w:fill="auto"/>
            <w:tcW w:w="3149" w:type="pct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работы.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организацией рабочего места,</w:t>
            </w:r>
            <w:r>
              <w:rPr>
                <w:sz w:val="24"/>
                <w:szCs w:val="24"/>
              </w:rPr>
              <w:t xml:space="preserve"> уборкой рабочего места,</w:t>
            </w:r>
            <w:r>
              <w:rPr>
                <w:sz w:val="24"/>
                <w:szCs w:val="24"/>
              </w:rPr>
              <w:t xml:space="preserve"> использование инструмента и оборудования, соблюдение требований ОТ и ТБ;</w:t>
            </w:r>
            <w:r/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технической документацией.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</w:t>
            </w:r>
            <w:r>
              <w:rPr>
                <w:sz w:val="24"/>
                <w:szCs w:val="24"/>
              </w:rPr>
              <w:t xml:space="preserve">использовани</w:t>
            </w:r>
            <w:r>
              <w:rPr>
                <w:sz w:val="24"/>
                <w:szCs w:val="24"/>
              </w:rPr>
              <w:t xml:space="preserve">ем</w:t>
            </w:r>
            <w:r>
              <w:rPr>
                <w:sz w:val="24"/>
                <w:szCs w:val="24"/>
              </w:rPr>
              <w:t xml:space="preserve"> технической документации, правильность заполнения бланков; </w:t>
            </w:r>
            <w:r/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работ, согласно заданию.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к выполнению типовых технологических процессов. Проверка параметров изделий (если применимо).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Ремонт элементов конструкции ВС из цветных металлов</w:t>
            </w:r>
            <w:r/>
          </w:p>
        </w:tc>
        <w:tc>
          <w:tcPr>
            <w:shd w:val="clear" w:color="auto" w:fill="auto"/>
            <w:tcW w:w="3149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Ремонт элементов конструкции ВС из композитных материалов</w:t>
            </w:r>
            <w:r/>
          </w:p>
        </w:tc>
        <w:tc>
          <w:tcPr>
            <w:shd w:val="clear" w:color="auto" w:fill="auto"/>
            <w:tcW w:w="3149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Обслуживание механических компонентов и систем ВС</w:t>
            </w:r>
            <w:r/>
          </w:p>
        </w:tc>
        <w:tc>
          <w:tcPr>
            <w:shd w:val="clear" w:color="auto" w:fill="auto"/>
            <w:tcW w:w="3149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Обслуживание и ремонт компонентов систем АиРЭО</w:t>
            </w:r>
            <w:r/>
          </w:p>
        </w:tc>
        <w:tc>
          <w:tcPr>
            <w:shd w:val="clear" w:color="auto" w:fill="auto"/>
            <w:tcW w:w="3149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КОНКУРСНОЕ ЗАДАНИЕ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Возрастной ценз: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 14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лет и более.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ч.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модуля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Таблица №4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tbl>
      <w:tblPr>
        <w:tblStyle w:val="775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Обобщенная трудовая функция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Трудовая функция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документ/ЗУН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Константа/вариатив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</w:t>
            </w:r>
            <w:r/>
          </w:p>
        </w:tc>
      </w:tr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</w:tr>
    </w:tbl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(Приложение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1)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9" w:name="_GoBack"/>
      <w:r/>
      <w:bookmarkEnd w:id="9"/>
      <w:r/>
      <w:r/>
    </w:p>
    <w:p>
      <w:pPr>
        <w:pStyle w:val="804"/>
        <w:ind w:firstLine="709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(инвариант/вариатив)</w:t>
      </w:r>
      <w:bookmarkEnd w:id="10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Осмотр и проверка технического состояния ВС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инвариант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часа;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 выполняет осмотр 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поиск дефектов в камере сгорания или на лопатках ротора авиационного двигателя. При выполнении работ, конкурсант должен строго соблюдать требования, изложенные в эксплуатационно-технической документации ВС и инструкции по использованию оборудования по НК.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 выполняет настройку и проверку оборудования по НК, согласно инструкции. Конкурсант выполняет осмотр и поиск дефектов в камере сгорания или на лопатках ротора с помощью эндоскопа. Определяет тип и параметры повреждений. Заполняет необходимую доку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ментацию.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Оборудование по НК должно использоваться согласно инструкции. Дефекты должны быть определены верно. Вся необходимая документация должна быть заполнена согласно инструкции.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Ремонт элементов конструкции ВС из цветных металлов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часа;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 изготавливает детали из листового металла, по выданному чертежу, для последующей сборки. При выполнении работ, конкурсант должен строго соблюдать требования, изложенные в эксплуатационно-технической и конструкторской документации ВС.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Каждый конкурсант получает чертежи и заг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отовки из металла. Выполняет расчет размеров развертки и эскизы деталей. Определяет тип крепежа и параметры установки крепежа. Выполняет обработку, гибку деталей, разделку отверстий под крепеж, согласно расчетам и эскизам. Устанавливает крепежные элементы.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Все детали должны быть выполнены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согласно чертежу. Линейные размеры деталей должны быть в допуске. Все края деталей должны быть гладкими, без заусенцев. На поверхности деталей должны отсутствовать любые повреждения. При выполнении работы должна производиться раздельная утилизация отходов.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 окончании работ конкурсант должен убрать рабочее место и сдать заполненную документацию.  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В.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Ремонт элементов конструкции ВС из композитных материалов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(вариатив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2 часа;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 изготавливает деталь из композитных материалов. При выполнении работ, конкурсант должен строго соблюдать требования, изложенные в конкурсном задании.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Каждый конкурсант получает чертежи, шаблоны и необходимый материал для создания композитной детали. Выполняет раскрой заготовок по шаблону, расчет необходимого количества связующего вещества. 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Все детали должны быть выполнены согласно чертежу. На поверхности деталей должны отсутствовать любые повреждения. При выполнении работы должна производиться раздельная утилизация отходов.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 окончании работ конкурсант должен убрать рабочее место и сдать заполненную документацию.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Обслуживание механических компонентов и систем ВС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часа;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решает производственную задачу по сборке и регулировке системы управления ВС (тросовая система). При выполнении Конкурсного задания, конкурсант должен четко соблюдать требования Руководства по эксплуатации, и другой нормативной документации производителя.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 получает конкурсное задание, схему сборки тросовой системы и все необходимые расходные материалы, 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так же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нормативную документацию. Конкурсанту необходимо выставить элероны в нулевое положение и замерить угол отклонения, отрегулировать натяжение тросов, произвести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измерение натяжения тросов в соответствии с заданием, выполнить стопорение болтов и тандерных муфт проволокой. При выполнении работ, конкурсант должен строго соблюдать требования, изложенные в эксплуатационно-технической и конструкторской документации ВС.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 должен знать и выполнять стандартизированные технологические процессы, применяемые при сборке и регулировке системы управления ВС. Уметь пользоваться инструментами и оборудованием для сборки и регулировки компонентов тросовой системы.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Д.  (Обслуживание и ремонт компонентов систем АиРЭО)</w:t>
      </w:r>
      <w: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(инвариант)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часа;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Задани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Конкурсант решает производственную задачу по сборке, монтажу электрической цепи на ВС. При выполнении Конкурсного задания, конкурсант должен четко соблюдать требования Руководства по эксплуатации, и другой документации производителя.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Все конкурсанты получают схемы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и необходимые расходные материалы. Конкурсанты должны проверить работоспособность оборудования и компонентов электрической цепи. Подготовить про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вода, выполнить монтаж электрического разъема и навесных элементов, подключить провода к навесным элементам, согласно схеме. Собрать провода в жгут в соответствии с требованиями. Проверить правильность подключения цепи и работоспособность собранной схемы.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Конкурсант должен знать и выполнять стандартизированные технологические процессы, применяемые при сборке и монтаже компонентов электрической цепи. Уметь пользоваться инструментами и оборудованием для сборки и монтажа компонентов электрической цепи.</w:t>
      </w:r>
      <w:r/>
    </w:p>
    <w:p>
      <w:pPr>
        <w:pStyle w:val="745"/>
        <w:ind w:firstLine="709"/>
        <w:jc w:val="center"/>
        <w:spacing w:after="0" w:line="276" w:lineRule="auto"/>
        <w:rPr>
          <w:rFonts w:ascii="Times New Roman" w:hAnsi="Times New Roman"/>
          <w:lang w:val="ru-RU"/>
        </w:rPr>
      </w:pPr>
      <w:r/>
      <w:bookmarkStart w:id="11" w:name="_Toc78885643"/>
      <w:r/>
      <w:bookmarkStart w:id="12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1"/>
      <w:r/>
      <w:bookmarkEnd w:id="12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ОТ и ТБ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  <w:t xml:space="preserve">Согласно правилам Техники Безопасности и Охраны Труда, все участники должны приступать к выполнению работ в средствах индивидуальной защиты (СИЗ) с учетом воздействующих вредных и опасных фа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кторов. Если участник выполняет работы без средств индивидуальной защиты, эксперт обязан остановить работу участника и указать на необходимость использования СИЗ. При этом участнику не начисляются баллы, предусмотренные в схеме оценки за использование СИЗ.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  <w:t xml:space="preserve">Если участник неоднократно нарушил правила использования индивидуальных средств, это считается нарушением Правил Чемпионата.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случае травмирования в следствии нарушений правил Техники безопасности, время, затраченное на оказание Первой медицинской помощи, Участнику не компенсируется.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  <w:t xml:space="preserve">Сортировка отходов производится в соответствующие емкости. Каждая ёмкость должна иметь соответствующее назначение с учетом видов и свойств отходов и сопровождаться видимым условным обозначением. Количество ёмкостей указывается в ИЛ.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Конкурсное задание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  <w:t xml:space="preserve">Стандарты индустрии должны соблюдаться при выполнении всех модулей Конкурсного задания.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  <w:t xml:space="preserve">Стандарты индустрии регламентируют использование определенных инструментов, оборудования, расходных материалов, способы и процедуры выполнения работ. Нарушение этих правил должно быть засвидетельствовано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как минимум двумя Экспертами и может сопровождаться вычетом баллов за выполнение участником задания.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енивание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На каждый модуль формируется группа для оценки из 3 Экспертов, среди которых назначается «Лидер». Группа выполняет и измеримую и судейскую оценку.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  <w:t xml:space="preserve"> «Лидер» осуществляет общее руководство группой по оценке и несет ответственность за заполнение оценочных ведомостей и их сдачу Главному эксперту в конце каждого дня Соревнований. 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  <w:t xml:space="preserve">Во время оценки Эксперты одной группы не имеют права общаться с другими Экспертами. Если эксперт будет замечен в общении с другим экспертом, не входящим в его группу оценки, то он может быть исключен из группы и заменен другим.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  <w:t xml:space="preserve">Запрещено использовать любые записывающие устройства, мобильные телефоны, смарт-часы во время оценки.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случае недостаточного количества экспертов для оценки, одной оценочной группе допускается выполнять оценку нескольких модулей одновременно, распределив Экспертов оценки по модулям. Но в ситуациях, когда не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обходимо засвидетельствовать факт нарушения Участником Правил чемпионата, Стандартов индустрии, Техники безопасности и т. п. приглашается второй Эксперт, который не является Экспертом-компатриотом, включая Главного эксперта и Заместителя главного эксперта.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ab/>
        <w:t xml:space="preserve">При выполнении модулей по поиску неисп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равностей, проведения осмотра, дефектации компонентов ВС Участник не имеет права покидать Конкурсную площадку. В случае острой необходимости (плохое самочувствие, посещения уборной) участник покидает площадку только в сопровождении Эксперта не компатриота.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/>
      <w:bookmarkStart w:id="13" w:name="_Toc78885659"/>
      <w:r/>
      <w:bookmarkStart w:id="14" w:name="_Toc124422972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 </w:t>
      </w:r>
      <w:bookmarkEnd w:id="13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Личный инструмент конкурсанта</w:t>
      </w:r>
      <w:bookmarkEnd w:id="14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Нулевой - нельзя ничего привозить.</w:t>
      </w:r>
      <w:r/>
    </w:p>
    <w:p>
      <w:pPr>
        <w:pStyle w:val="746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/>
      <w:bookmarkStart w:id="15" w:name="_Toc78885660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Конкурсантам и экспертам запрещено проносить на площадку проведения соревнований какой-либо инструмент и/или оборудование. Все необходимое для проведения соревнований оборудование и инструмент предоставля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ются Организатором соревновании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/>
    </w:p>
    <w:p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При поломке оборудования или инструмента время на выполнение задания останавливается до устранения поломки или замены неисправной позиции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.</w:t>
      </w:r>
      <w:r/>
    </w:p>
    <w:p>
      <w:pPr>
        <w:pStyle w:val="746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Материалы, оборудование и инструменты, запрещенные на площадке</w:t>
      </w:r>
      <w:bookmarkEnd w:id="15"/>
      <w:r/>
      <w:r/>
    </w:p>
    <w:p>
      <w:pPr>
        <w:pStyle w:val="746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/>
      <w:bookmarkStart w:id="16" w:name="_Toc124422973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Конкурсантам и экспертам запрещено проносить на площадку проведения соревнований как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ие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-либо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материалы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Все необходимое для проведения соревнований оборудование и инструмент предоставля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ются Организатором соревновании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/>
    </w:p>
    <w:p>
      <w:pPr>
        <w:pStyle w:val="803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Участники должны использовать только то количество расходных материалов, которое необходимо для выполнения зада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ния, чтобы избежать перерасхода.</w:t>
      </w:r>
      <w:r/>
    </w:p>
    <w:p>
      <w:pPr>
        <w:pStyle w:val="803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  <w:r/>
    </w:p>
    <w:p>
      <w:pPr>
        <w:pStyle w:val="803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6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«Обслуживание авиационной техники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Чертежи, технологические карты</w:t>
      </w:r>
      <w:r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  <w:r/>
    </w:p>
    <w:p>
      <w:pPr>
        <w:pStyle w:val="804"/>
        <w:jc w:val="both"/>
        <w:spacing w:before="0"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758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758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22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.</w:t>
      </w:r>
      <w:r/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pStyle w:val="822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pStyle w:val="796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pStyle w:val="810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pStyle w:val="778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53"/>
    <w:link w:val="74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53"/>
    <w:link w:val="74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53"/>
    <w:link w:val="74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53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53"/>
    <w:link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53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53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53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53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43"/>
    <w:next w:val="74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53"/>
    <w:link w:val="33"/>
    <w:uiPriority w:val="10"/>
    <w:rPr>
      <w:sz w:val="48"/>
      <w:szCs w:val="48"/>
    </w:rPr>
  </w:style>
  <w:style w:type="paragraph" w:styleId="35">
    <w:name w:val="Subtitle"/>
    <w:basedOn w:val="743"/>
    <w:next w:val="74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53"/>
    <w:link w:val="35"/>
    <w:uiPriority w:val="11"/>
    <w:rPr>
      <w:sz w:val="24"/>
      <w:szCs w:val="24"/>
    </w:rPr>
  </w:style>
  <w:style w:type="paragraph" w:styleId="37">
    <w:name w:val="Quote"/>
    <w:basedOn w:val="743"/>
    <w:next w:val="74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43"/>
    <w:next w:val="74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53"/>
    <w:link w:val="756"/>
    <w:uiPriority w:val="99"/>
  </w:style>
  <w:style w:type="character" w:styleId="44">
    <w:name w:val="Footer Char"/>
    <w:basedOn w:val="753"/>
    <w:link w:val="758"/>
    <w:uiPriority w:val="99"/>
  </w:style>
  <w:style w:type="character" w:styleId="46">
    <w:name w:val="Caption Char"/>
    <w:basedOn w:val="789"/>
    <w:link w:val="758"/>
    <w:uiPriority w:val="99"/>
  </w:style>
  <w:style w:type="table" w:styleId="48">
    <w:name w:val="Table Grid Light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92"/>
    <w:uiPriority w:val="99"/>
    <w:rPr>
      <w:sz w:val="18"/>
    </w:rPr>
  </w:style>
  <w:style w:type="paragraph" w:styleId="177">
    <w:name w:val="endnote text"/>
    <w:basedOn w:val="74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53"/>
    <w:uiPriority w:val="99"/>
    <w:semiHidden/>
    <w:unhideWhenUsed/>
    <w:rPr>
      <w:vertAlign w:val="superscript"/>
    </w:rPr>
  </w:style>
  <w:style w:type="paragraph" w:styleId="183">
    <w:name w:val="toc 4"/>
    <w:basedOn w:val="743"/>
    <w:next w:val="74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43"/>
    <w:next w:val="74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43"/>
    <w:next w:val="74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43"/>
    <w:next w:val="74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43"/>
    <w:next w:val="74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43"/>
    <w:next w:val="743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43"/>
    <w:next w:val="743"/>
    <w:uiPriority w:val="99"/>
    <w:unhideWhenUsed/>
    <w:pPr>
      <w:spacing w:after="0" w:afterAutospacing="0"/>
    </w:pPr>
  </w:style>
  <w:style w:type="paragraph" w:styleId="743" w:default="1">
    <w:name w:val="Normal"/>
    <w:qFormat/>
  </w:style>
  <w:style w:type="paragraph" w:styleId="744">
    <w:name w:val="Heading 1"/>
    <w:basedOn w:val="743"/>
    <w:next w:val="743"/>
    <w:link w:val="765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45">
    <w:name w:val="Heading 2"/>
    <w:basedOn w:val="743"/>
    <w:next w:val="743"/>
    <w:link w:val="766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46">
    <w:name w:val="Heading 3"/>
    <w:basedOn w:val="743"/>
    <w:next w:val="743"/>
    <w:link w:val="767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47">
    <w:name w:val="Heading 4"/>
    <w:basedOn w:val="743"/>
    <w:next w:val="743"/>
    <w:link w:val="768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48">
    <w:name w:val="Heading 5"/>
    <w:basedOn w:val="743"/>
    <w:next w:val="743"/>
    <w:link w:val="769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49">
    <w:name w:val="Heading 6"/>
    <w:basedOn w:val="743"/>
    <w:next w:val="743"/>
    <w:link w:val="770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50">
    <w:name w:val="Heading 7"/>
    <w:basedOn w:val="743"/>
    <w:next w:val="743"/>
    <w:link w:val="771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51">
    <w:name w:val="Heading 8"/>
    <w:basedOn w:val="743"/>
    <w:next w:val="743"/>
    <w:link w:val="772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52">
    <w:name w:val="Heading 9"/>
    <w:basedOn w:val="743"/>
    <w:next w:val="743"/>
    <w:link w:val="773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paragraph" w:styleId="756">
    <w:name w:val="Header"/>
    <w:basedOn w:val="743"/>
    <w:link w:val="7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7" w:customStyle="1">
    <w:name w:val="Верхний колонтитул Знак"/>
    <w:basedOn w:val="753"/>
    <w:link w:val="756"/>
    <w:uiPriority w:val="99"/>
  </w:style>
  <w:style w:type="paragraph" w:styleId="758">
    <w:name w:val="Footer"/>
    <w:basedOn w:val="743"/>
    <w:link w:val="7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9" w:customStyle="1">
    <w:name w:val="Нижний колонтитул Знак"/>
    <w:basedOn w:val="753"/>
    <w:link w:val="758"/>
    <w:uiPriority w:val="99"/>
  </w:style>
  <w:style w:type="paragraph" w:styleId="760">
    <w:name w:val="No Spacing"/>
    <w:link w:val="761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61" w:customStyle="1">
    <w:name w:val="Без интервала Знак"/>
    <w:basedOn w:val="753"/>
    <w:link w:val="760"/>
    <w:uiPriority w:val="1"/>
    <w:rPr>
      <w:rFonts w:eastAsiaTheme="minorEastAsia"/>
      <w:lang w:eastAsia="ru-RU"/>
    </w:rPr>
  </w:style>
  <w:style w:type="character" w:styleId="762">
    <w:name w:val="Placeholder Text"/>
    <w:basedOn w:val="753"/>
    <w:uiPriority w:val="99"/>
    <w:semiHidden/>
    <w:rPr>
      <w:color w:val="808080"/>
    </w:rPr>
  </w:style>
  <w:style w:type="paragraph" w:styleId="763">
    <w:name w:val="Balloon Text"/>
    <w:basedOn w:val="743"/>
    <w:link w:val="76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64" w:customStyle="1">
    <w:name w:val="Текст выноски Знак"/>
    <w:basedOn w:val="753"/>
    <w:link w:val="763"/>
    <w:rPr>
      <w:rFonts w:ascii="Tahoma" w:hAnsi="Tahoma" w:cs="Tahoma"/>
      <w:sz w:val="16"/>
      <w:szCs w:val="16"/>
    </w:rPr>
  </w:style>
  <w:style w:type="character" w:styleId="765" w:customStyle="1">
    <w:name w:val="Заголовок 1 Знак"/>
    <w:basedOn w:val="753"/>
    <w:link w:val="744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766" w:customStyle="1">
    <w:name w:val="Заголовок 2 Знак"/>
    <w:basedOn w:val="753"/>
    <w:link w:val="745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767" w:customStyle="1">
    <w:name w:val="Заголовок 3 Знак"/>
    <w:basedOn w:val="753"/>
    <w:link w:val="746"/>
    <w:rPr>
      <w:rFonts w:ascii="Arial" w:hAnsi="Arial" w:eastAsia="Times New Roman" w:cs="Arial"/>
      <w:b/>
      <w:bCs/>
      <w:szCs w:val="26"/>
      <w:lang w:val="en-GB"/>
    </w:rPr>
  </w:style>
  <w:style w:type="character" w:styleId="768" w:customStyle="1">
    <w:name w:val="Заголовок 4 Знак"/>
    <w:basedOn w:val="753"/>
    <w:link w:val="747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769" w:customStyle="1">
    <w:name w:val="Заголовок 5 Знак"/>
    <w:basedOn w:val="753"/>
    <w:link w:val="74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770" w:customStyle="1">
    <w:name w:val="Заголовок 6 Знак"/>
    <w:basedOn w:val="753"/>
    <w:link w:val="749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71" w:customStyle="1">
    <w:name w:val="Заголовок 7 Знак"/>
    <w:basedOn w:val="753"/>
    <w:link w:val="750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772" w:customStyle="1">
    <w:name w:val="Заголовок 8 Знак"/>
    <w:basedOn w:val="753"/>
    <w:link w:val="751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773" w:customStyle="1">
    <w:name w:val="Заголовок 9 Знак"/>
    <w:basedOn w:val="753"/>
    <w:link w:val="752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74">
    <w:name w:val="Hyperlink"/>
    <w:uiPriority w:val="99"/>
    <w:rPr>
      <w:color w:val="0000ff"/>
      <w:u w:val="single"/>
    </w:rPr>
  </w:style>
  <w:style w:type="table" w:styleId="775">
    <w:name w:val="Table Grid"/>
    <w:basedOn w:val="75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76">
    <w:name w:val="toc 1"/>
    <w:basedOn w:val="743"/>
    <w:next w:val="743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777" w:customStyle="1">
    <w:name w:val="numbered list"/>
    <w:basedOn w:val="778"/>
  </w:style>
  <w:style w:type="paragraph" w:styleId="778" w:customStyle="1">
    <w:name w:val="bullet"/>
    <w:basedOn w:val="743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79">
    <w:name w:val="page number"/>
    <w:rPr>
      <w:rFonts w:ascii="Arial" w:hAnsi="Arial"/>
      <w:sz w:val="16"/>
    </w:rPr>
  </w:style>
  <w:style w:type="paragraph" w:styleId="780" w:customStyle="1">
    <w:name w:val="Doc subtitle1"/>
    <w:basedOn w:val="743"/>
    <w:link w:val="791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81" w:customStyle="1">
    <w:name w:val="Doc subtitle2"/>
    <w:basedOn w:val="743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782" w:customStyle="1">
    <w:name w:val="Doc title"/>
    <w:basedOn w:val="743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783">
    <w:name w:val="Body Text"/>
    <w:basedOn w:val="743"/>
    <w:link w:val="784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784" w:customStyle="1">
    <w:name w:val="Основной текст Знак"/>
    <w:basedOn w:val="753"/>
    <w:link w:val="783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785">
    <w:name w:val="Body Text Indent 2"/>
    <w:basedOn w:val="743"/>
    <w:link w:val="786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786" w:customStyle="1">
    <w:name w:val="Основной текст с отступом 2 Знак"/>
    <w:basedOn w:val="753"/>
    <w:link w:val="785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787">
    <w:name w:val="Body Text 2"/>
    <w:basedOn w:val="743"/>
    <w:link w:val="788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788" w:customStyle="1">
    <w:name w:val="Основной текст 2 Знак"/>
    <w:basedOn w:val="753"/>
    <w:link w:val="787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789">
    <w:name w:val="Caption"/>
    <w:basedOn w:val="743"/>
    <w:next w:val="743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790" w:customStyle="1">
    <w:name w:val="Абзац списка1"/>
    <w:basedOn w:val="743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91" w:customStyle="1">
    <w:name w:val="Doc subtitle1 Char"/>
    <w:link w:val="780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792">
    <w:name w:val="footnote text"/>
    <w:basedOn w:val="743"/>
    <w:link w:val="793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793" w:customStyle="1">
    <w:name w:val="Текст сноски Знак"/>
    <w:basedOn w:val="753"/>
    <w:link w:val="792"/>
    <w:rPr>
      <w:rFonts w:ascii="Times New Roman" w:hAnsi="Times New Roman" w:eastAsia="Times New Roman" w:cs="Times New Roman"/>
      <w:szCs w:val="20"/>
      <w:lang w:eastAsia="ru-RU"/>
    </w:rPr>
  </w:style>
  <w:style w:type="character" w:styleId="794">
    <w:name w:val="footnote reference"/>
    <w:rPr>
      <w:vertAlign w:val="superscript"/>
    </w:rPr>
  </w:style>
  <w:style w:type="character" w:styleId="795">
    <w:name w:val="FollowedHyperlink"/>
    <w:rPr>
      <w:color w:val="800080"/>
      <w:u w:val="single"/>
    </w:rPr>
  </w:style>
  <w:style w:type="paragraph" w:styleId="796" w:customStyle="1">
    <w:name w:val="цветной текст"/>
    <w:basedOn w:val="743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797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798" w:customStyle="1">
    <w:name w:val="выделение цвет"/>
    <w:basedOn w:val="743"/>
    <w:link w:val="811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799" w:customStyle="1">
    <w:name w:val="цвет в таблице"/>
    <w:rPr>
      <w:color w:val="2c8de6"/>
    </w:rPr>
  </w:style>
  <w:style w:type="paragraph" w:styleId="800">
    <w:name w:val="TOC Heading"/>
    <w:basedOn w:val="744"/>
    <w:next w:val="743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01">
    <w:name w:val="toc 2"/>
    <w:basedOn w:val="743"/>
    <w:next w:val="743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02">
    <w:name w:val="toc 3"/>
    <w:basedOn w:val="743"/>
    <w:next w:val="743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03" w:customStyle="1">
    <w:name w:val="!Заголовок-1"/>
    <w:basedOn w:val="744"/>
    <w:link w:val="805"/>
    <w:qFormat/>
    <w:rPr>
      <w:lang w:val="ru-RU"/>
    </w:rPr>
  </w:style>
  <w:style w:type="paragraph" w:styleId="804" w:customStyle="1">
    <w:name w:val="!заголовок-2"/>
    <w:basedOn w:val="745"/>
    <w:link w:val="807"/>
    <w:qFormat/>
    <w:rPr>
      <w:lang w:val="ru-RU"/>
    </w:rPr>
  </w:style>
  <w:style w:type="character" w:styleId="805" w:customStyle="1">
    <w:name w:val="!Заголовок-1 Знак"/>
    <w:link w:val="803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06" w:customStyle="1">
    <w:name w:val="!Текст"/>
    <w:basedOn w:val="743"/>
    <w:link w:val="809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07" w:customStyle="1">
    <w:name w:val="!заголовок-2 Знак"/>
    <w:link w:val="804"/>
    <w:rPr>
      <w:rFonts w:ascii="Arial" w:hAnsi="Arial" w:eastAsia="Times New Roman" w:cs="Times New Roman"/>
      <w:b/>
      <w:sz w:val="28"/>
      <w:szCs w:val="24"/>
    </w:rPr>
  </w:style>
  <w:style w:type="paragraph" w:styleId="808" w:customStyle="1">
    <w:name w:val="!Синий заголовок текста"/>
    <w:basedOn w:val="798"/>
    <w:link w:val="812"/>
    <w:qFormat/>
  </w:style>
  <w:style w:type="character" w:styleId="809" w:customStyle="1">
    <w:name w:val="!Текст Знак"/>
    <w:link w:val="806"/>
    <w:rPr>
      <w:rFonts w:ascii="Times New Roman" w:hAnsi="Times New Roman" w:eastAsia="Times New Roman" w:cs="Times New Roman"/>
      <w:szCs w:val="20"/>
      <w:lang w:eastAsia="ru-RU"/>
    </w:rPr>
  </w:style>
  <w:style w:type="paragraph" w:styleId="810" w:customStyle="1">
    <w:name w:val="!Список с точками"/>
    <w:basedOn w:val="743"/>
    <w:link w:val="814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11" w:customStyle="1">
    <w:name w:val="выделение цвет Знак"/>
    <w:link w:val="79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12" w:customStyle="1">
    <w:name w:val="!Синий заголовок текста Знак"/>
    <w:link w:val="80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13">
    <w:name w:val="List Paragraph"/>
    <w:basedOn w:val="74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14" w:customStyle="1">
    <w:name w:val="!Список с точками Знак"/>
    <w:link w:val="810"/>
    <w:rPr>
      <w:rFonts w:ascii="Times New Roman" w:hAnsi="Times New Roman" w:eastAsia="Times New Roman" w:cs="Times New Roman"/>
      <w:szCs w:val="20"/>
      <w:lang w:eastAsia="ru-RU"/>
    </w:rPr>
  </w:style>
  <w:style w:type="paragraph" w:styleId="815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16" w:customStyle="1">
    <w:name w:val="Интернет-ссылка"/>
    <w:rPr>
      <w:color w:val="0000ff"/>
      <w:u w:val="single"/>
      <w:lang w:val="ru-RU" w:eastAsia="ru-RU" w:bidi="ru-RU"/>
    </w:rPr>
  </w:style>
  <w:style w:type="character" w:styleId="817">
    <w:name w:val="annotation reference"/>
    <w:basedOn w:val="753"/>
    <w:semiHidden/>
    <w:unhideWhenUsed/>
    <w:rPr>
      <w:sz w:val="16"/>
      <w:szCs w:val="16"/>
    </w:rPr>
  </w:style>
  <w:style w:type="paragraph" w:styleId="818">
    <w:name w:val="annotation text"/>
    <w:basedOn w:val="743"/>
    <w:link w:val="819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19" w:customStyle="1">
    <w:name w:val="Текст примечания Знак"/>
    <w:basedOn w:val="753"/>
    <w:link w:val="818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20">
    <w:name w:val="annotation subject"/>
    <w:basedOn w:val="818"/>
    <w:next w:val="818"/>
    <w:link w:val="821"/>
    <w:semiHidden/>
    <w:unhideWhenUsed/>
    <w:rPr>
      <w:b/>
      <w:bCs/>
    </w:rPr>
  </w:style>
  <w:style w:type="character" w:styleId="821" w:customStyle="1">
    <w:name w:val="Тема примечания Знак"/>
    <w:basedOn w:val="819"/>
    <w:link w:val="820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22" w:customStyle="1">
    <w:name w:val="Lista Black"/>
    <w:basedOn w:val="783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23" w:customStyle="1">
    <w:name w:val="Основной текст (14)_"/>
    <w:basedOn w:val="753"/>
    <w:link w:val="824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24" w:customStyle="1">
    <w:name w:val="Основной текст (14)_3"/>
    <w:basedOn w:val="743"/>
    <w:link w:val="823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25" w:customStyle="1">
    <w:name w:val="Неразрешенное упоминание1"/>
    <w:basedOn w:val="753"/>
    <w:uiPriority w:val="99"/>
    <w:semiHidden/>
    <w:unhideWhenUsed/>
    <w:rPr>
      <w:color w:val="605e5c"/>
      <w:shd w:val="clear" w:color="auto" w:fill="e1dfdd"/>
    </w:rPr>
  </w:style>
  <w:style w:type="character" w:styleId="826" w:customStyle="1">
    <w:name w:val="Unresolved Mention"/>
    <w:basedOn w:val="75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5461-3E87-432E-9877-6FC43226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Михаил Гайдаев</cp:lastModifiedBy>
  <cp:revision>30</cp:revision>
  <dcterms:created xsi:type="dcterms:W3CDTF">2023-01-12T10:59:00Z</dcterms:created>
  <dcterms:modified xsi:type="dcterms:W3CDTF">2023-02-28T14:44:26Z</dcterms:modified>
</cp:coreProperties>
</file>