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ОБСЛУЖИВАНИЕ ГРУЗОВОЙ ТЕХНИКИ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»</w:t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</w:t>
      </w:r>
      <w:r>
        <w:rPr>
          <w:rFonts w:ascii="Times New Roman" w:hAnsi="Times New Roman" w:cs="Times New Roman"/>
          <w:lang w:bidi="en-US"/>
        </w:rPr>
        <w:t xml:space="preserve">23</w:t>
      </w:r>
      <w:r>
        <w:rPr>
          <w:rFonts w:ascii="Times New Roman" w:hAnsi="Times New Roman" w:cs="Times New Roman"/>
          <w:lang w:bidi="en-US"/>
        </w:rPr>
        <w:t xml:space="preserve">г.</w:t>
      </w:r>
      <w:r/>
    </w:p>
    <w:p>
      <w:pPr>
        <w:pStyle w:val="820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20"/>
        <w:ind w:firstLine="0"/>
        <w:spacing w:line="276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772"/>
        <w:spacing w:line="276" w:lineRule="auto"/>
        <w:rPr>
          <w:rFonts w:ascii="Times New Roman" w:hAnsi="Times New Roman" w:eastAsiaTheme="minorEastAsia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4422965" w:anchor="_Toc124422965" w:history="1">
        <w:r>
          <w:rPr>
            <w:rStyle w:val="770"/>
            <w:rFonts w:ascii="Times New Roman" w:hAnsi="Times New Roman"/>
          </w:rPr>
          <w:t xml:space="preserve">1. ОСНОВНЫЕ ТРЕБОВАНИЯ КОМПЕТЕНЦИИ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_Toc124422965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3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97"/>
        <w:spacing w:line="276" w:lineRule="auto"/>
        <w:rPr>
          <w:rFonts w:eastAsiaTheme="minorEastAsia"/>
          <w:szCs w:val="22"/>
        </w:rPr>
      </w:pPr>
      <w:r/>
      <w:hyperlink w:tooltip="#_Toc124422966" w:anchor="_Toc124422966" w:history="1">
        <w:r>
          <w:rPr>
            <w:rStyle w:val="770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797"/>
        <w:spacing w:line="276" w:lineRule="auto"/>
        <w:rPr>
          <w:rFonts w:eastAsiaTheme="minorEastAsia"/>
          <w:szCs w:val="22"/>
        </w:rPr>
      </w:pPr>
      <w:r/>
      <w:hyperlink w:tooltip="#_Toc124422967" w:anchor="_Toc124422967" w:history="1">
        <w:r>
          <w:rPr>
            <w:rStyle w:val="770"/>
          </w:rPr>
          <w:t xml:space="preserve">1.2. ПЕРЕЧЕНЬ ПРОФЕССИОНАЛЬНЫХ ЗАДАЧ СПЕЦИАЛИСТА ПО КОМПЕТЕНЦИИ «</w:t>
        </w:r>
        <w:r>
          <w:t xml:space="preserve">ОБСЛУЖИВАНИЕ ГРУЗОВОЙ ТЕХНИКИ</w:t>
        </w:r>
        <w:r>
          <w:rPr>
            <w:rStyle w:val="770"/>
          </w:rPr>
          <w:t xml:space="preserve">»</w:t>
        </w:r>
        <w:r>
          <w:tab/>
        </w:r>
        <w:r>
          <w:fldChar w:fldCharType="begin"/>
        </w:r>
        <w:r>
          <w:instrText xml:space="preserve"> PAGEREF _Toc124422967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797"/>
        <w:spacing w:line="276" w:lineRule="auto"/>
        <w:rPr>
          <w:rFonts w:eastAsiaTheme="minorEastAsia"/>
          <w:szCs w:val="22"/>
        </w:rPr>
      </w:pPr>
      <w:r/>
      <w:hyperlink w:tooltip="#_Toc124422968" w:anchor="_Toc124422968" w:history="1">
        <w:r>
          <w:rPr>
            <w:rStyle w:val="770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797"/>
        <w:spacing w:line="276" w:lineRule="auto"/>
        <w:rPr>
          <w:rFonts w:eastAsiaTheme="minorEastAsia"/>
          <w:szCs w:val="22"/>
        </w:rPr>
      </w:pPr>
      <w:r/>
      <w:hyperlink w:tooltip="#_Toc124422969" w:anchor="_Toc124422969" w:history="1">
        <w:r>
          <w:rPr>
            <w:rStyle w:val="770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_Toc124422969 \h </w:instrText>
        </w:r>
        <w:r/>
        <w:r>
          <w:fldChar w:fldCharType="separate"/>
        </w:r>
        <w:r>
          <w:t xml:space="preserve">9</w:t>
        </w:r>
        <w:r>
          <w:fldChar w:fldCharType="end"/>
        </w:r>
      </w:hyperlink>
      <w:r/>
      <w:r/>
    </w:p>
    <w:p>
      <w:pPr>
        <w:pStyle w:val="797"/>
        <w:spacing w:line="276" w:lineRule="auto"/>
        <w:rPr>
          <w:rFonts w:eastAsiaTheme="minorEastAsia"/>
          <w:szCs w:val="22"/>
        </w:rPr>
      </w:pPr>
      <w:r/>
      <w:hyperlink w:tooltip="#_Toc124422970" w:anchor="_Toc124422970" w:history="1">
        <w:r>
          <w:rPr>
            <w:rStyle w:val="770"/>
          </w:rPr>
          <w:t xml:space="preserve"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/>
        <w:r>
          <w:fldChar w:fldCharType="separate"/>
        </w:r>
        <w:r>
          <w:t xml:space="preserve">12</w:t>
        </w:r>
        <w:r>
          <w:fldChar w:fldCharType="end"/>
        </w:r>
      </w:hyperlink>
      <w:r/>
      <w:r/>
    </w:p>
    <w:p>
      <w:pPr>
        <w:pStyle w:val="797"/>
        <w:spacing w:line="276" w:lineRule="auto"/>
        <w:rPr>
          <w:rFonts w:eastAsiaTheme="minorEastAsia"/>
          <w:szCs w:val="22"/>
        </w:rPr>
      </w:pPr>
      <w:r/>
      <w:hyperlink w:tooltip="#_Toc124422971" w:anchor="_Toc124422971" w:history="1">
        <w:r>
          <w:rPr>
            <w:rStyle w:val="770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/>
        <w:r>
          <w:fldChar w:fldCharType="separate"/>
        </w:r>
        <w:r>
          <w:t xml:space="preserve">14</w:t>
        </w:r>
        <w:r>
          <w:fldChar w:fldCharType="end"/>
        </w:r>
      </w:hyperlink>
      <w:r/>
      <w:r/>
    </w:p>
    <w:p>
      <w:pPr>
        <w:pStyle w:val="797"/>
        <w:spacing w:line="276" w:lineRule="auto"/>
        <w:rPr>
          <w:rFonts w:eastAsiaTheme="minorEastAsia"/>
          <w:szCs w:val="22"/>
        </w:rPr>
      </w:pPr>
      <w:r/>
      <w:hyperlink w:tooltip="#_Toc124422972" w:anchor="_Toc124422972" w:history="1">
        <w:r>
          <w:rPr>
            <w:rStyle w:val="770"/>
          </w:rPr>
          <w:t xml:space="preserve">2.1. </w:t>
        </w:r>
        <w:r>
          <w:rPr>
            <w:rStyle w:val="770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/>
        <w:r>
          <w:fldChar w:fldCharType="separate"/>
        </w:r>
        <w:r>
          <w:t xml:space="preserve">14</w:t>
        </w:r>
        <w:r>
          <w:fldChar w:fldCharType="end"/>
        </w:r>
      </w:hyperlink>
      <w:r/>
      <w:r/>
    </w:p>
    <w:p>
      <w:pPr>
        <w:pStyle w:val="772"/>
        <w:spacing w:line="276" w:lineRule="auto"/>
        <w:rPr>
          <w:rFonts w:ascii="Times New Roman" w:hAnsi="Times New Roman" w:eastAsiaTheme="minorEastAsia"/>
          <w:sz w:val="22"/>
          <w:szCs w:val="22"/>
          <w:lang w:val="ru-RU" w:eastAsia="ru-RU"/>
        </w:rPr>
      </w:pPr>
      <w:r/>
      <w:hyperlink w:tooltip="#_Toc124422973" w:anchor="_Toc124422973" w:history="1">
        <w:r>
          <w:rPr>
            <w:rStyle w:val="770"/>
            <w:rFonts w:ascii="Times New Roman" w:hAnsi="Times New Roman"/>
          </w:rPr>
          <w:t xml:space="preserve">3. Приложения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  <w:sz w:val="22"/>
            <w:szCs w:val="22"/>
            <w:lang w:val="ru-RU"/>
          </w:rPr>
          <w:t xml:space="preserve">18</w:t>
        </w:r>
      </w:hyperlink>
      <w:r/>
      <w:r/>
    </w:p>
    <w:p>
      <w:pPr>
        <w:pStyle w:val="774"/>
        <w:numPr>
          <w:ilvl w:val="0"/>
          <w:numId w:val="0"/>
        </w:numPr>
        <w:jc w:val="both"/>
        <w:spacing w:line="276" w:lineRule="auto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КЗ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к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онкурсное задание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по компетенции</w:t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ИЛ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инфраструктурный лист  </w:t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ТО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техническое обслуживание</w:t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АТС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автотранспортное средство</w:t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</w:r>
      <w:r/>
    </w:p>
    <w:p>
      <w:pPr>
        <w:pStyle w:val="774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/>
    </w:p>
    <w:p>
      <w:pPr>
        <w:pStyle w:val="774"/>
        <w:numPr>
          <w:ilvl w:val="0"/>
          <w:numId w:val="0"/>
        </w:numPr>
        <w:ind w:hanging="360"/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b/>
          <w:bCs/>
        </w:rPr>
      </w:pPr>
      <w:r/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  <w:r/>
      <w:r/>
    </w:p>
    <w:p>
      <w:pPr>
        <w:pStyle w:val="799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/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/>
      <w:r/>
    </w:p>
    <w:p>
      <w:pPr>
        <w:pStyle w:val="800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2" w:name="_Toc12442296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2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грузовой техники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741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4" w:name="_Toc78885652"/>
      <w:r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«</w:t>
      </w:r>
      <w:r>
        <w:rPr>
          <w:rFonts w:ascii="Times New Roman" w:hAnsi="Times New Roman"/>
          <w:color w:val="000000"/>
          <w:sz w:val="24"/>
          <w:lang w:val="ru-RU"/>
        </w:rPr>
        <w:t xml:space="preserve">ОБСЛУЖИВАНИЕ ГРУЗОВОЙ ТЕХНИКИ</w:t>
      </w:r>
      <w:r>
        <w:rPr>
          <w:rFonts w:ascii="Times New Roman" w:hAnsi="Times New Roman"/>
          <w:color w:val="000000"/>
          <w:sz w:val="24"/>
          <w:lang w:val="ru-RU"/>
        </w:rPr>
        <w:t xml:space="preserve">»</w:t>
      </w:r>
      <w:bookmarkEnd w:id="5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center"/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bfbfbf" w:themeFill="background1" w:themeFillShade="BF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1134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23"/>
              <w:numPr>
                <w:ilvl w:val="0"/>
                <w:numId w:val="23"/>
              </w:numPr>
              <w:ind w:right="1289"/>
              <w:spacing w:before="5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Меры, необходимые для сохранения здоровья и рабочего пространства в безопасности</w:t>
            </w:r>
            <w:r/>
          </w:p>
          <w:p>
            <w:pPr>
              <w:pStyle w:val="823"/>
              <w:numPr>
                <w:ilvl w:val="0"/>
                <w:numId w:val="23"/>
              </w:numPr>
              <w:spacing w:before="2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Назначение средств индивидуальной защиты, используемых техническим специалистом.</w:t>
            </w:r>
            <w:r/>
          </w:p>
          <w:p>
            <w:pPr>
              <w:pStyle w:val="823"/>
              <w:numPr>
                <w:ilvl w:val="0"/>
                <w:numId w:val="23"/>
              </w:numPr>
              <w:spacing w:before="3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Безопасное и рациональное использование и хранение веществ и материалов.</w:t>
            </w:r>
            <w:r/>
          </w:p>
          <w:p>
            <w:pPr>
              <w:pStyle w:val="823"/>
              <w:numPr>
                <w:ilvl w:val="0"/>
                <w:numId w:val="23"/>
              </w:numPr>
              <w:ind w:right="312"/>
              <w:spacing w:before="5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процесс и применить соответствующие решения относительно технического обслуживания или ремонта.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подходящие методы выполнения работ для осуществления своих трудовых функций.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неисправностей и их признаков в системах или частях грузовых автомобилей.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применение методов диагностики;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применить результаты диагностики и других вычислений для распознавания неисправностей.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регулярного технического обслуживания для минимизации неисправностей в системе и ее частях.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выбрать надлежащие процедуры для ТО или ремонта данных систем.</w:t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выбранных процедур на остальные части систем.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и добросовестно выполнять нужные процедуры для защиты здоровья и обеспечения безопасности на рабочем месте.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все оборудование и материалы безопасно и в соответствии с инструкцией производителей.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Утилизировать вещества и материалы без риска для окружающей среды.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  <w:r/>
          </w:p>
          <w:p>
            <w:pPr>
              <w:numPr>
                <w:ilvl w:val="0"/>
                <w:numId w:val="23"/>
              </w:num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чистить, хранить и настраивать оборудование в соответствии с инструкциями изготовителя;</w:t>
            </w:r>
            <w:r/>
          </w:p>
          <w:p>
            <w:pPr>
              <w:numPr>
                <w:ilvl w:val="0"/>
                <w:numId w:val="23"/>
              </w:num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техники безопасности и норм охраны труда и окружающей среды, оборудования и материалов;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процесс и применить соответствующие решения относительно технического обслуживания или ремонта.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наиболее подходящие методы для технического обслуживания и ремонта.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Обнаружить и продиагностировать неисправность в системах или частях грузовых автомобилей. 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 применять результаты надлежащих методов диагностирования. 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выполнением его трудовых функций.</w:t>
            </w:r>
            <w:r/>
          </w:p>
          <w:p>
            <w:pPr>
              <w:numPr>
                <w:ilvl w:val="0"/>
                <w:numId w:val="23"/>
              </w:numPr>
              <w:ind w:right="312"/>
              <w:spacing w:before="5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соответствующую процедуру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и ремонту,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Ослаблять влияние выбранных процедур на остальные части систем. 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нормативной и сопроводительной документации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требования к оформлению, назначение и применение заказ-наряда и акт выполненных работ;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Инструкции по эксплуатации инструмента и оборудования (в том числе на английском языке).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630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руководством по эксплуатации автомобиля, нормативной документацией по конкретному автомобилю (в том числе на английском языке);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чертежами, схемами, инструкционными технологическими картами (в том числе на английском языке);</w:t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Заполнять заказ-наряд, ведомость дефектов и акт выполненных работ.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20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оммуникация и творчество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647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Профессиональную терминологию;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Иностранные языки, в том числе технический английский;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этикета при общении с клиентом.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825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Вести диалог с заказчиком;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Находить вариативные методы решения задач при выполнении поставленных задач;</w:t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Грамотно формулировать свою устную и письменную речь.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23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 и инструменты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10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и назначение слесарного инструмента и оборудования для ремонта и обслуживания автомобилей. </w:t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и назначение оборудования для проведения диагностики.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990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инструмент и оборудования для выполнения определённых работ;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ручным инструментом;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электрифицированным инструментом;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пневматическим инструментом;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автомобильными подъемниками, домкратами, смотровыми канавами, кантователями, оборудованием для вытяжки отработанных газов.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контрольно-измерительными приборами и диагностическим оборудованием;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специальными приспособлениями и оснасткой;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персональным компьютером, принтером, МФУ.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20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атериальный мир и ресурсы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15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160"/>
              <w:rPr>
                <w:rFonts w:ascii="Times New Roman" w:hAnsi="Times New Roman" w:eastAsiaTheme="minorHAns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Какие детали подлежат замене при ремонте и обслуживании автомобилей;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0"/>
              <w:rPr>
                <w:rFonts w:ascii="Times New Roman" w:hAnsi="Times New Roman" w:eastAsiaTheme="minorHAns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Ассортимент и назначение веществ, материалов, используемых в производстве.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 датчиков и компонентов, а также элементов электрических схем.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675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160"/>
              <w:rPr>
                <w:rFonts w:ascii="Times New Roman" w:hAnsi="Times New Roman" w:eastAsiaTheme="minorHAns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Пользоваться каталогами запасных частей;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160"/>
              <w:rPr>
                <w:rFonts w:ascii="Times New Roman" w:hAnsi="Times New Roman" w:eastAsiaTheme="minorHAns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Пользоваться электронными автомобильными базами данных;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0"/>
              <w:rPr>
                <w:rFonts w:ascii="Times New Roman" w:hAnsi="Times New Roman" w:eastAsiaTheme="minorHAns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Пользоваться каталогами норм времени;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запасные части при ремонте и обслуживании автомобилей.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79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рограммное обеспечение</w:t>
            </w:r>
            <w:r/>
          </w:p>
        </w:tc>
        <w:tc>
          <w:tcPr>
            <w:shd w:val="clear" w:color="auto" w:fill="bfbfbf" w:themeFill="background1" w:themeFillShade="BF"/>
            <w:tcBorders>
              <w:bottom w:val="single" w:color="auto" w:sz="4" w:space="0"/>
            </w:tcBorders>
            <w:tcW w:w="1134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048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160"/>
              <w:rPr>
                <w:rFonts w:ascii="Times New Roman" w:hAnsi="Times New Roman" w:eastAsiaTheme="minorHAns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160"/>
              <w:rPr>
                <w:rFonts w:ascii="Times New Roman" w:hAnsi="Times New Roman" w:eastAsiaTheme="minorHAns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Какое программное обеспечение использовать для работы с документацией на рабочем месте;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160"/>
              <w:rPr>
                <w:rFonts w:ascii="Times New Roman" w:hAnsi="Times New Roman" w:eastAsiaTheme="minorHAns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О существовании различных версий и возможностей офисных программ для работы с текстом, таблицами;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0"/>
              <w:rPr>
                <w:rFonts w:ascii="Times New Roman" w:hAnsi="Times New Roman" w:eastAsiaTheme="minorHAns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Основные принципы работы в специализированном программном обеспечение, связанным с проведением диагностики.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1065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536" w:type="pct"/>
            <w:vAlign w:val="center"/>
            <w:textDirection w:val="lrTb"/>
            <w:noWrap w:val="false"/>
          </w:tcPr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16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16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Пользоваться специализированным программным обеспечением при работе с диагностическим оборудованием.</w:t>
            </w:r>
            <w:r/>
          </w:p>
          <w:p>
            <w:pPr>
              <w:pStyle w:val="809"/>
              <w:numPr>
                <w:ilvl w:val="0"/>
                <w:numId w:val="24"/>
              </w:numPr>
              <w:ind w:left="789" w:hanging="789"/>
              <w:jc w:val="both"/>
              <w:spacing w:after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Пользоваться офисными программами для работы с текстом, таблицами. </w:t>
            </w:r>
            <w:r/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741"/>
        <w:ind w:firstLine="709"/>
        <w:jc w:val="both"/>
        <w:spacing w:after="0" w:line="276" w:lineRule="auto"/>
        <w:rPr>
          <w:rFonts w:ascii="Times New Roman" w:hAnsi="Times New Roman"/>
          <w:szCs w:val="28"/>
          <w:lang w:val="ru-RU"/>
        </w:rPr>
      </w:pPr>
      <w:r/>
      <w:bookmarkStart w:id="6" w:name="_Toc78885655"/>
      <w:r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color w:val="000000"/>
          <w:szCs w:val="28"/>
          <w:lang w:val="ru-RU"/>
        </w:rPr>
        <w:t xml:space="preserve">ТРЕБОВАНИЯ К СХЕМЕ ОЦЕНКИ</w:t>
      </w:r>
      <w:bookmarkEnd w:id="6"/>
      <w:r/>
      <w:bookmarkEnd w:id="7"/>
      <w:r/>
      <w:r/>
    </w:p>
    <w:p>
      <w:pPr>
        <w:pStyle w:val="779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779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779"/>
        <w:ind w:firstLine="709"/>
        <w:spacing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p>
      <w:pPr>
        <w:pStyle w:val="779"/>
        <w:spacing w:line="276" w:lineRule="auto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/>
    </w:p>
    <w:tbl>
      <w:tblPr>
        <w:tblStyle w:val="771"/>
        <w:tblW w:w="5324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83"/>
        <w:gridCol w:w="845"/>
        <w:gridCol w:w="1060"/>
        <w:gridCol w:w="964"/>
        <w:gridCol w:w="822"/>
        <w:gridCol w:w="1048"/>
        <w:gridCol w:w="1101"/>
        <w:gridCol w:w="1353"/>
        <w:gridCol w:w="70"/>
        <w:gridCol w:w="1284"/>
        <w:gridCol w:w="70"/>
      </w:tblGrid>
      <w:tr>
        <w:trPr>
          <w:jc w:val="center"/>
          <w:trHeight w:val="1538"/>
        </w:trPr>
        <w:tc>
          <w:tcPr>
            <w:shd w:val="clear" w:color="auto" w:fill="92d050"/>
            <w:tcW w:w="660" w:type="pc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9"/>
            <w:shd w:val="clear" w:color="auto" w:fill="92d050"/>
            <w:tcW w:w="368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Критерий/Модуль</w:t>
            </w:r>
            <w:r/>
          </w:p>
        </w:tc>
        <w:tc>
          <w:tcPr>
            <w:gridSpan w:val="2"/>
            <w:shd w:val="clear" w:color="auto" w:fill="92d050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ТРЕБОВАНИЙ КОМПЕТЕНЦИИ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66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138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41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51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shd w:val="clear" w:color="auto" w:fill="00b050"/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40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shd w:val="clear" w:color="auto" w:fill="00b050"/>
            <w:tcW w:w="51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/>
          </w:p>
        </w:tc>
        <w:tc>
          <w:tcPr>
            <w:shd w:val="clear" w:color="auto" w:fill="00b050"/>
            <w:tcW w:w="53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Е</w:t>
            </w:r>
            <w:r/>
          </w:p>
        </w:tc>
        <w:tc>
          <w:tcPr>
            <w:shd w:val="clear" w:color="auto" w:fill="00b050"/>
            <w:tcW w:w="660" w:type="pc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Ж</w:t>
            </w:r>
            <w:r/>
          </w:p>
        </w:tc>
        <w:tc>
          <w:tcPr>
            <w:gridSpan w:val="2"/>
            <w:shd w:val="clear" w:color="auto" w:fill="00b050"/>
            <w:tcW w:w="660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66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38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51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40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51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66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38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51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40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51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66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38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</w:t>
            </w:r>
            <w:r/>
          </w:p>
        </w:tc>
        <w:tc>
          <w:tcPr>
            <w:tcW w:w="51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</w:t>
            </w:r>
            <w:r/>
          </w:p>
        </w:tc>
        <w:tc>
          <w:tcPr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</w:t>
            </w:r>
            <w:r/>
          </w:p>
        </w:tc>
        <w:tc>
          <w:tcPr>
            <w:tcW w:w="40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</w:t>
            </w:r>
            <w:r/>
          </w:p>
        </w:tc>
        <w:tc>
          <w:tcPr>
            <w:tcW w:w="51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</w:t>
            </w:r>
            <w:r/>
          </w:p>
        </w:tc>
        <w:tc>
          <w:tcPr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66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38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W w:w="51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3,75</w:t>
            </w:r>
            <w:r/>
          </w:p>
        </w:tc>
        <w:tc>
          <w:tcPr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W w:w="40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51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0,25</w:t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66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38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51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40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51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4,5</w:t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gridAfter w:val="1"/>
          <w:jc w:val="center"/>
          <w:trHeight w:val="50"/>
        </w:trPr>
        <w:tc>
          <w:tcPr>
            <w:shd w:val="clear" w:color="auto" w:fill="92d050"/>
            <w:tcW w:w="66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38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W w:w="41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51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40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</w:t>
            </w:r>
            <w:r/>
          </w:p>
        </w:tc>
        <w:tc>
          <w:tcPr>
            <w:tcW w:w="51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</w:tr>
      <w:tr>
        <w:trPr>
          <w:gridAfter w:val="1"/>
          <w:jc w:val="center"/>
        </w:trPr>
        <w:tc>
          <w:tcPr>
            <w:gridSpan w:val="2"/>
            <w:shd w:val="clear" w:color="auto" w:fill="00b050"/>
            <w:tcW w:w="798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 w:themeFill="background1" w:themeFillShade="F2"/>
            <w:tcW w:w="41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 xml:space="preserve">16,5</w:t>
            </w:r>
            <w:r>
              <w:fldChar w:fldCharType="end"/>
            </w:r>
            <w:r/>
          </w:p>
        </w:tc>
        <w:tc>
          <w:tcPr>
            <w:shd w:val="clear" w:color="auto" w:fill="f2f2f2" w:themeFill="background1" w:themeFillShade="F2"/>
            <w:tcW w:w="51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 xml:space="preserve">16,25</w:t>
            </w:r>
            <w:r>
              <w:fldChar w:fldCharType="end"/>
            </w:r>
            <w:r/>
          </w:p>
        </w:tc>
        <w:tc>
          <w:tcPr>
            <w:shd w:val="clear" w:color="auto" w:fill="f2f2f2" w:themeFill="background1" w:themeFillShade="F2"/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 xml:space="preserve">16,5</w:t>
            </w:r>
            <w:r>
              <w:fldChar w:fldCharType="end"/>
            </w:r>
            <w:r/>
          </w:p>
        </w:tc>
        <w:tc>
          <w:tcPr>
            <w:shd w:val="clear" w:color="auto" w:fill="f2f2f2" w:themeFill="background1" w:themeFillShade="F2"/>
            <w:tcW w:w="40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 xml:space="preserve">14</w:t>
            </w:r>
            <w:r>
              <w:fldChar w:fldCharType="end"/>
            </w:r>
            <w:r/>
          </w:p>
        </w:tc>
        <w:tc>
          <w:tcPr>
            <w:shd w:val="clear" w:color="auto" w:fill="f2f2f2" w:themeFill="background1" w:themeFillShade="F2"/>
            <w:tcW w:w="511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 xml:space="preserve">14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auto" w:fill="f2f2f2" w:themeFill="background1" w:themeFillShade="F2"/>
            <w:tcW w:w="537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 xml:space="preserve">10</w:t>
            </w:r>
            <w:r>
              <w:fldChar w:fldCharType="end"/>
            </w:r>
            <w:r/>
          </w:p>
        </w:tc>
        <w:tc>
          <w:tcPr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 xml:space="preserve">12,75</w:t>
            </w:r>
            <w:r>
              <w:fldChar w:fldCharType="end"/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660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sz w:val="22"/>
                <w:szCs w:val="22"/>
              </w:rPr>
              <w:t xml:space="preserve">100</w:t>
            </w:r>
            <w:r>
              <w:rPr>
                <w:b/>
              </w:rPr>
              <w:fldChar w:fldCharType="end"/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00"/>
        <w:ind w:firstLine="709"/>
        <w:spacing w:before="0" w:after="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800"/>
        <w:ind w:firstLine="709"/>
        <w:spacing w:before="0" w:after="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spacing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 w:clear="all"/>
      </w:r>
      <w:r/>
    </w:p>
    <w:p>
      <w:pPr>
        <w:pStyle w:val="800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8" w:name="_Toc124422969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8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right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771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Mar>
              <w:left w:w="0" w:type="dxa"/>
              <w:right w:w="0" w:type="dxa"/>
            </w:tcMar>
            <w:tcW w:w="28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Системы управления работой двигателя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безопасности при подготовке рабочего места и проведении работ;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Тестирование и диагностика компонентов и систем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работой двигателя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Ремонт и измерения;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Поддержание порядка на рабочем месте при выполнении задания и по завершению работы;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Mar>
              <w:left w:w="0" w:type="dxa"/>
              <w:right w:w="0" w:type="dxa"/>
            </w:tcMar>
            <w:tcW w:w="28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Системы рулевого управления и тормозной системы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безопасности при подготовке рабочего места и проведении работ;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Тестирование и диагностика компонентов </w:t>
            </w:r>
            <w:r>
              <w:rPr>
                <w:sz w:val="24"/>
                <w:szCs w:val="24"/>
              </w:rPr>
              <w:t xml:space="preserve">системы </w:t>
            </w:r>
            <w:r>
              <w:rPr>
                <w:color w:val="000000"/>
                <w:sz w:val="24"/>
                <w:szCs w:val="24"/>
              </w:rPr>
              <w:t xml:space="preserve">рулевого управления и тормозной системы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Ремонт и измерения;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Поддержание порядка на рабочем месте при выполнении задания и по завершению работы;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Mar>
              <w:left w:w="0" w:type="dxa"/>
              <w:right w:w="0" w:type="dxa"/>
            </w:tcMar>
            <w:tcW w:w="28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Электрические системы, и системы контроля климата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безопасности при подготовке рабочего места и проведении работ;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Тестирование и диагностика компонентов </w:t>
            </w:r>
            <w:r>
              <w:rPr>
                <w:sz w:val="24"/>
                <w:szCs w:val="24"/>
              </w:rPr>
              <w:t xml:space="preserve">э</w:t>
            </w:r>
            <w:r>
              <w:rPr>
                <w:color w:val="000000"/>
                <w:sz w:val="24"/>
                <w:szCs w:val="24"/>
              </w:rPr>
              <w:t xml:space="preserve">лектрическ</w:t>
            </w:r>
            <w:r>
              <w:rPr>
                <w:color w:val="000000"/>
                <w:sz w:val="24"/>
                <w:szCs w:val="24"/>
              </w:rPr>
              <w:t xml:space="preserve">ой</w:t>
            </w:r>
            <w:r>
              <w:rPr>
                <w:color w:val="000000"/>
                <w:sz w:val="24"/>
                <w:szCs w:val="24"/>
              </w:rPr>
              <w:t xml:space="preserve"> системы, и системы контроля климата</w:t>
            </w:r>
            <w:r>
              <w:rPr>
                <w:sz w:val="24"/>
                <w:szCs w:val="24"/>
              </w:rPr>
              <w:t xml:space="preserve"> двигателя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Ремонт и измерения;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Поддержание порядка на рабочем месте при выполнении задания и по завершению работы;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Mar>
              <w:left w:w="0" w:type="dxa"/>
              <w:right w:w="0" w:type="dxa"/>
            </w:tcMar>
            <w:tcW w:w="28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Механика двигателя и измерение точности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Требования безопасности при подготовке рабочего места и проведении работ;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Дефектовка структурных элементов двигателя; •</w:t>
            </w:r>
            <w:r>
              <w:rPr>
                <w:sz w:val="24"/>
                <w:szCs w:val="24"/>
              </w:rPr>
              <w:tab/>
              <w:t xml:space="preserve">Ремонт и измерения;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Поддержание порядка на рабочем месте при выполнении задания и по завершению работы;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Mar>
              <w:left w:w="0" w:type="dxa"/>
              <w:right w:w="0" w:type="dxa"/>
            </w:tcMar>
            <w:tcW w:w="28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Трансмиссия 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Требования безопасности при подготовке рабочего места и проведении работ;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Дефектовка структурных элементов трансмиссии;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Ремонт и измерения;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Поддержание порядка на рабочем месте при выполнении задания и по завершению работы;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Mar>
              <w:left w:w="0" w:type="dxa"/>
              <w:right w:w="0" w:type="dxa"/>
            </w:tcMar>
            <w:tcW w:w="28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Сервисное обслуживание электромобиля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безопасности при подготовке рабочего места и проведении работ;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Дефектовка структурных элементов </w:t>
            </w:r>
            <w:r>
              <w:rPr>
                <w:sz w:val="24"/>
                <w:szCs w:val="24"/>
              </w:rPr>
              <w:t xml:space="preserve">электромобиля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Диагностирование и техническое обслуживание электромобиля;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Поддержание порядка на рабочем месте при выполнении задания и по завершению работы;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Mar>
              <w:left w:w="0" w:type="dxa"/>
              <w:right w:w="0" w:type="dxa"/>
            </w:tcMar>
            <w:tcW w:w="282" w:type="pct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Оформление документации по ремонту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Дефектовка и проверка комплектности,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Работа с каталожной документацией;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Составление ведомости некомплекта;</w:t>
            </w:r>
            <w:r/>
          </w:p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</w:t>
            </w:r>
            <w:r>
              <w:rPr>
                <w:sz w:val="24"/>
                <w:szCs w:val="24"/>
              </w:rPr>
              <w:tab/>
              <w:t xml:space="preserve">Поддержание порядка на рабочем месте при выполнении задания и по завершению работы;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компетенции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баллов </w:t>
      </w:r>
      <w:r>
        <w:rPr>
          <w:rFonts w:ascii="Times New Roman" w:hAnsi="Times New Roman" w:cs="Times New Roman"/>
          <w:sz w:val="28"/>
          <w:szCs w:val="28"/>
        </w:rPr>
        <w:t xml:space="preserve">задания/модуля по всем критериям оценки составляет 100.</w:t>
      </w:r>
      <w:r/>
    </w:p>
    <w:p>
      <w:pPr>
        <w:pStyle w:val="824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каждого аспекта</w:t>
      </w:r>
      <w:r>
        <w:rPr>
          <w:sz w:val="28"/>
          <w:szCs w:val="28"/>
        </w:rPr>
        <w:t xml:space="preserve"> модуля</w:t>
      </w:r>
      <w:r>
        <w:rPr>
          <w:sz w:val="28"/>
          <w:szCs w:val="28"/>
        </w:rPr>
        <w:t xml:space="preserve"> осуществляется одним или двумя экспертами (независимый эксперт или представитель дилерского центра). На усмотрение организаторов площадки проведения соревнования.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Также допускается оценивание участников одним независимым экспертом сторонней организации и экспертом-наставником по согласованию экспертного сообщества.</w:t>
      </w:r>
      <w:r/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9"/>
        <w:contextualSpacing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Судейская оценка не применяется.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КОНКУРСНОЕ ЗАДАНИЕ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ч.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вариа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ной части, выбирается регионом самостоятельно в зависимости от материальных возможностей площадки соревнований и потребностей работодателей региона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соответствующих специалистах, но не может составлять менее 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При этом неиспользуемый модуль в схеме оценки оценивается 0 баллов для всех участников соревнования.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этом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не учитывается в графике соревнования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оценки по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ются и составляет 100 баллов.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Вариативная часть наполнение модуля формируется регионом самостоятельно под запрос работодателя в части марок и видов транспортных сре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дств дорожно-строительной и ремонтной техники, включая специализированные автомобили представленных на площадке соревнования. При этом, время на выполнение модуля и количество баллов в критериях оценки по аспектам не меняются и составляет также 100 баллов.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firstLine="851"/>
        <w:jc w:val="right"/>
        <w:spacing w:after="0" w:line="276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Таблица №4</w:t>
      </w:r>
      <w:r/>
    </w:p>
    <w:p>
      <w:pPr>
        <w:ind w:firstLine="851"/>
        <w:jc w:val="right"/>
        <w:spacing w:after="0" w:line="276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/>
    </w:p>
    <w:p>
      <w:pPr>
        <w:ind w:firstLine="851"/>
        <w:jc w:val="center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hyperlink r:id="rId12" w:tooltip="https://disk.yandex.ru/i/YSaQGG8GWCZrqwи" w:history="1">
        <w:r>
          <w:rPr>
            <w:rStyle w:val="770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https://disk.yandex.ru/i/YSaQGG8GWCZrqwи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13" w:tooltip="Инструкция%20к%20матрице%20Обслуживание%20грузовой%20техники.docx" w:history="1">
        <w:r>
          <w:rPr>
            <w:rStyle w:val="770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(Приложение</w:t>
        </w:r>
        <w:r>
          <w:rPr>
            <w:rStyle w:val="770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>
          <w:rPr>
            <w:rStyle w:val="770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00"/>
        <w:ind w:firstLine="709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(инвариант/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вариатив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)</w:t>
      </w:r>
      <w:bookmarkEnd w:id="9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Системы управления работой двигателя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 часа.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для выполнения этого модуля конкурсант должен пр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оизвести запуск автомобиля, устранить неисправности системы управления работой двигателя и добиться устойчивой работы двигателя. Все выполненные работы, обнаруженные неисправности и использованные запасные части участник должен записать в лист заказ наряд.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Системы рулевого управления и тормозной системы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- 2 часа.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выполнения этого модуля конкурсант должен провести диагностирование элементов рулевого механизма и тормозной системы автомобиля, устранить обнаруженные неисправности и выполнить необходимые опера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ции по техническому обслуживанию этих систем, использовать электронные автомобильные базы данных для представленного автомобиля. Все выполненные работы, обнаруженные неисправности и использованные запасные части участник должен записать в лист заказ-наряд.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Электрические системы, и системы контроля климата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- 2 часа.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выполнения этого модуля конкурсант должен выполнить диагност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ирование элементов системы отопления и контроля климата, электрической системы автомобиля, определить неисправности и устранить. Все выполненные работы, обнаруженные неисправности и использованные запасные части участник должен записать в лист заказ-наряд.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Механика двигателя и измерения точности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» (инвариант)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- 2 часа.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Конкурсанту необходимо выполнить полную или частичную</w:t>
      </w:r>
      <w:r>
        <w:rPr>
          <w:rFonts w:ascii="Times New Roman" w:hAnsi="Times New Roman"/>
          <w:sz w:val="28"/>
          <w:szCs w:val="28"/>
        </w:rPr>
        <w:t xml:space="preserve"> разборку двигателя, провести необходимые измерения структурных элементов двигателя согласно технической документации, определить и устранить неисправности, определить годны</w:t>
      </w:r>
      <w:r>
        <w:rPr>
          <w:rFonts w:ascii="Times New Roman" w:hAnsi="Times New Roman"/>
          <w:sz w:val="28"/>
          <w:szCs w:val="28"/>
        </w:rPr>
        <w:t xml:space="preserve">е и не годные к дальнейшему использованию детали. В каталоге запасных частей произвести подбор новых деталей взамен негодных с указанием каталожных номеров. Произвести сборку агрегата согласно технической документации на двигатель. Все выполненные работы, </w:t>
      </w:r>
      <w:r>
        <w:rPr>
          <w:rFonts w:ascii="Times New Roman" w:hAnsi="Times New Roman"/>
          <w:sz w:val="28"/>
          <w:szCs w:val="28"/>
        </w:rPr>
        <w:t xml:space="preserve">обнаруженные неисправности и использованные запасные части участник должен записать в лист заказ – наряд, а результаты замеров в представленную для этого ведомость.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Трансмиссия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»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- 2 часа.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Конкурсанту необходимо выполнить полную или частичную разборку представленного узла трансмиссии, необходимые измерения структурных элементов тран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смиссии согласно технической документации, определить и устранить неисправности, определить годные и не годные к дальнейшему использованию детали. В каталоге запасных частей произвести подбор новых деталей взамен негодных с указанием каталожных номеров. Пр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оизвести сборку агрегата согласно технической документации на него. Все выполненные работы, обнаруженные неисправности и использованные запасные части участник должен записать в лист заказ – наряд, а результаты замеров в представленную для этого ведомость.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Сервисное обслуживание электромобиля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- 2 часа.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в соответствии с заданием пользуясь технической документацией необходимо выполнить ви</w:t>
      </w:r>
      <w:r>
        <w:rPr>
          <w:rFonts w:ascii="Times New Roman" w:hAnsi="Times New Roman"/>
          <w:sz w:val="28"/>
          <w:szCs w:val="28"/>
        </w:rPr>
        <w:t xml:space="preserve">зуальный осмотр техники произвести замеры, определить неисправности. Все выполненные работы, обнаруженные неисправности и использованные запасные части участник должен записать в лист заказ – наряд, а результаты замеров в представленную для этого ведомость</w:t>
      </w:r>
      <w:r>
        <w:rPr>
          <w:rFonts w:ascii="Times New Roman" w:hAnsi="Times New Roman"/>
          <w:szCs w:val="24"/>
        </w:rPr>
        <w:t xml:space="preserve">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Оформление документации по ремонту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- 2 часа.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Конкурсанту</w:t>
      </w:r>
      <w:r>
        <w:rPr>
          <w:rFonts w:ascii="Times New Roman" w:hAnsi="Times New Roman"/>
          <w:sz w:val="28"/>
          <w:szCs w:val="28"/>
        </w:rPr>
        <w:t xml:space="preserve"> в соответствии с заданием пользуясь технической документацией необходимо произвести подбор запасных частей и расходных материалов с указанием каталожных номеров,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составить заявку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произвести р</w:t>
      </w:r>
      <w:r>
        <w:rPr>
          <w:rFonts w:ascii="Times New Roman" w:hAnsi="Times New Roman"/>
          <w:sz w:val="28"/>
          <w:szCs w:val="28"/>
          <w:lang w:eastAsia="ru-RU"/>
        </w:rPr>
        <w:t xml:space="preserve">асчет трудоемкости работ согласно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, разработанным заводом изготовителем. </w:t>
      </w:r>
      <w:r>
        <w:rPr>
          <w:rFonts w:ascii="Times New Roman" w:hAnsi="Times New Roman"/>
          <w:sz w:val="28"/>
          <w:szCs w:val="28"/>
        </w:rPr>
        <w:t xml:space="preserve">Все планируемые работы, и используемые запасные части участник должен записать в лист заказ – наряд, а результаты замеров и расчетов в представленную для этого ведомость.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741"/>
        <w:ind w:firstLine="709"/>
        <w:jc w:val="center"/>
        <w:spacing w:after="0" w:line="276" w:lineRule="auto"/>
        <w:rPr>
          <w:rFonts w:ascii="Times New Roman" w:hAnsi="Times New Roman"/>
          <w:lang w:val="ru-RU"/>
        </w:rPr>
      </w:pPr>
      <w:r/>
      <w:bookmarkStart w:id="10" w:name="_Toc78885643"/>
      <w:r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r/>
      <w:bookmarkEnd w:id="11"/>
      <w:r/>
      <w:r/>
    </w:p>
    <w:p>
      <w:pPr>
        <w:ind w:firstLine="720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Конкурсанты и эксперты без СИЗ (спец. одежда, обувь с жестким мыском, очки, перчатки, каскетка) на конкурсную площадку не допускаются. </w:t>
      </w:r>
      <w:r/>
    </w:p>
    <w:p>
      <w:pPr>
        <w:pStyle w:val="827"/>
        <w:contextualSpacing/>
        <w:ind w:firstLine="709"/>
        <w:jc w:val="both"/>
        <w:spacing w:line="276" w:lineRule="auto"/>
        <w:shd w:val="clear" w:color="auto" w:fill="auto"/>
        <w:rPr>
          <w:rStyle w:val="826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задании модул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коллегиальному решению экспертов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чемпионата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по согласованию с Менеджером компетенции допускается включени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точки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Style w:val="826"/>
          <w:rFonts w:ascii="Times New Roman" w:hAnsi="Times New Roman" w:cs="Times New Roman"/>
          <w:sz w:val="28"/>
          <w:szCs w:val="28"/>
        </w:rPr>
        <w:t xml:space="preserve">STOP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В инструкциях для участника по прохождению заданий точки </w:t>
      </w:r>
      <w:r>
        <w:rPr>
          <w:rStyle w:val="826"/>
          <w:rFonts w:ascii="Times New Roman" w:hAnsi="Times New Roman" w:cs="Times New Roman"/>
          <w:sz w:val="28"/>
          <w:szCs w:val="28"/>
        </w:rPr>
        <w:t xml:space="preserve">STOP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 предусмотренные настоящим техническим описанием должны присутствовать в каждом пункте/разделе оценки и четко определять, что подлежит оценке. </w:t>
      </w:r>
      <w:r/>
    </w:p>
    <w:p>
      <w:pPr>
        <w:ind w:firstLine="284"/>
        <w:jc w:val="both"/>
        <w:spacing w:after="0" w:line="276" w:lineRule="auto"/>
        <w:rPr>
          <w:rStyle w:val="82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Главный эксперт 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согласовывает КЗ с 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Менеджером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компетенции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принимает</w:t>
      </w: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ind w:firstLine="284"/>
        <w:jc w:val="both"/>
        <w:spacing w:after="0" w:line="276" w:lineRule="auto"/>
        <w:rPr>
          <w:rStyle w:val="826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826"/>
          <w:rFonts w:ascii="Times New Roman" w:hAnsi="Times New Roman" w:cs="Times New Roman"/>
          <w:sz w:val="28"/>
          <w:szCs w:val="28"/>
          <w:lang w:val="ru-RU"/>
        </w:rPr>
        <w:t xml:space="preserve">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  <w:r/>
    </w:p>
    <w:p>
      <w:pPr>
        <w:ind w:firstLine="284"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r>
      <w:r/>
    </w:p>
    <w:p>
      <w:pPr>
        <w:ind w:firstLine="284"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Конкурсное задание может быть утверждено в любой удобной для Менеджера компетенции форме.</w:t>
      </w:r>
      <w:r/>
    </w:p>
    <w:p>
      <w:pPr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00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12" w:name="_Toc78885659"/>
      <w:r/>
      <w:bookmarkStart w:id="13" w:name="_Toc124422972"/>
      <w:r>
        <w:rPr>
          <w:rFonts w:ascii="Times New Roman" w:hAnsi="Times New Roman"/>
          <w:color w:val="000000"/>
          <w:szCs w:val="28"/>
        </w:rPr>
        <w:t xml:space="preserve">2</w:t>
      </w:r>
      <w:r>
        <w:rPr>
          <w:rFonts w:ascii="Times New Roman" w:hAnsi="Times New Roman"/>
          <w:color w:val="000000"/>
          <w:szCs w:val="28"/>
        </w:rPr>
        <w:t xml:space="preserve">.</w:t>
      </w:r>
      <w:r>
        <w:rPr>
          <w:rFonts w:ascii="Times New Roman" w:hAnsi="Times New Roman"/>
          <w:color w:val="000000"/>
          <w:szCs w:val="28"/>
        </w:rPr>
        <w:t xml:space="preserve">1</w:t>
      </w:r>
      <w:r>
        <w:rPr>
          <w:rFonts w:ascii="Times New Roman" w:hAnsi="Times New Roman"/>
          <w:color w:val="000000"/>
          <w:szCs w:val="28"/>
        </w:rPr>
        <w:t xml:space="preserve">. </w:t>
      </w:r>
      <w:bookmarkEnd w:id="12"/>
      <w:r>
        <w:rPr>
          <w:rFonts w:ascii="Times New Roman" w:hAnsi="Times New Roman"/>
          <w:bCs/>
          <w:iCs/>
          <w:szCs w:val="28"/>
        </w:rPr>
        <w:t xml:space="preserve">Личный инструмент конкурсанта</w:t>
      </w:r>
      <w:bookmarkEnd w:id="13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Нулевой.</w:t>
      </w:r>
      <w:r/>
    </w:p>
    <w:p>
      <w:pPr>
        <w:pStyle w:val="742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/>
      <w:bookmarkStart w:id="14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Материалы, оборудование и инструменты, запрещенные на площадке</w:t>
      </w:r>
      <w:bookmarkEnd w:id="14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5" w:name="_Toc124422973"/>
      <w:r>
        <w:rPr>
          <w:rFonts w:ascii="Times New Roman" w:hAnsi="Times New Roman" w:eastAsia="Times New Roman" w:cs="Times New Roman"/>
          <w:sz w:val="28"/>
          <w:szCs w:val="28"/>
        </w:rPr>
        <w:t xml:space="preserve">На площадке запрещены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невматические и электрические инструменты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площадке проведения соревнования запрещено пользоваться любыми цифровыми носителями не предоставленными организаторами соревнования.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  <w:r/>
    </w:p>
    <w:p>
      <w:pPr>
        <w:ind w:firstLine="72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799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5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Инструкция%20к%20матрице%20Обслуживание%20грузовой%20техники.docx" w:history="1">
        <w:r>
          <w:rPr>
            <w:rStyle w:val="770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70"/>
            <w:rFonts w:ascii="Times New Roman" w:hAnsi="Times New Roman" w:cs="Times New Roman"/>
            <w:sz w:val="28"/>
            <w:szCs w:val="28"/>
          </w:rPr>
          <w:t xml:space="preserve"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5" w:tooltip="Матрица.xlsx" w:history="1">
        <w:r>
          <w:rPr>
            <w:rStyle w:val="770"/>
            <w:rFonts w:ascii="Times New Roman" w:hAnsi="Times New Roman" w:cs="Times New Roman"/>
            <w:sz w:val="28"/>
            <w:szCs w:val="28"/>
          </w:rPr>
          <w:t xml:space="preserve">Приложение №2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6" w:tooltip="КО.xlsx" w:history="1">
        <w:r>
          <w:rPr>
            <w:rStyle w:val="770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70"/>
            <w:rFonts w:ascii="Times New Roman" w:hAnsi="Times New Roman" w:cs="Times New Roman"/>
            <w:sz w:val="28"/>
            <w:szCs w:val="28"/>
          </w:rPr>
          <w:t xml:space="preserve"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7" w:tooltip="Инструкция%20по%20охране%20труда%20и%20ТБ.docx" w:history="1">
        <w:r>
          <w:rPr>
            <w:rStyle w:val="770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70"/>
            <w:rFonts w:ascii="Times New Roman" w:hAnsi="Times New Roman" w:cs="Times New Roman"/>
            <w:sz w:val="28"/>
            <w:szCs w:val="28"/>
          </w:rPr>
          <w:t xml:space="preserve"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«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грузовой техники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754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754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t xml:space="preserve">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pStyle w:val="818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pStyle w:val="792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806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pStyle w:val="774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164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4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3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36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9"/>
  </w:num>
  <w:num w:numId="10">
    <w:abstractNumId w:val="8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4"/>
  </w:num>
  <w:num w:numId="17">
    <w:abstractNumId w:val="21"/>
  </w:num>
  <w:num w:numId="18">
    <w:abstractNumId w:val="18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17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49"/>
    <w:link w:val="74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49"/>
    <w:link w:val="74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49"/>
    <w:link w:val="742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49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49"/>
    <w:link w:val="744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49"/>
    <w:link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49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49"/>
    <w:link w:val="747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49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39"/>
    <w:next w:val="73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49"/>
    <w:link w:val="33"/>
    <w:uiPriority w:val="10"/>
    <w:rPr>
      <w:sz w:val="48"/>
      <w:szCs w:val="48"/>
    </w:rPr>
  </w:style>
  <w:style w:type="paragraph" w:styleId="35">
    <w:name w:val="Subtitle"/>
    <w:basedOn w:val="739"/>
    <w:next w:val="73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49"/>
    <w:link w:val="35"/>
    <w:uiPriority w:val="11"/>
    <w:rPr>
      <w:sz w:val="24"/>
      <w:szCs w:val="24"/>
    </w:rPr>
  </w:style>
  <w:style w:type="paragraph" w:styleId="37">
    <w:name w:val="Quote"/>
    <w:basedOn w:val="739"/>
    <w:next w:val="73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9"/>
    <w:next w:val="73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49"/>
    <w:link w:val="752"/>
    <w:uiPriority w:val="99"/>
  </w:style>
  <w:style w:type="character" w:styleId="44">
    <w:name w:val="Footer Char"/>
    <w:basedOn w:val="749"/>
    <w:link w:val="754"/>
    <w:uiPriority w:val="99"/>
  </w:style>
  <w:style w:type="character" w:styleId="46">
    <w:name w:val="Caption Char"/>
    <w:basedOn w:val="785"/>
    <w:link w:val="754"/>
    <w:uiPriority w:val="99"/>
  </w:style>
  <w:style w:type="table" w:styleId="48">
    <w:name w:val="Table Grid Light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88"/>
    <w:uiPriority w:val="99"/>
    <w:rPr>
      <w:sz w:val="18"/>
    </w:rPr>
  </w:style>
  <w:style w:type="paragraph" w:styleId="177">
    <w:name w:val="endnote text"/>
    <w:basedOn w:val="73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49"/>
    <w:uiPriority w:val="99"/>
    <w:semiHidden/>
    <w:unhideWhenUsed/>
    <w:rPr>
      <w:vertAlign w:val="superscript"/>
    </w:rPr>
  </w:style>
  <w:style w:type="paragraph" w:styleId="183">
    <w:name w:val="toc 4"/>
    <w:basedOn w:val="739"/>
    <w:next w:val="73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9"/>
    <w:next w:val="73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9"/>
    <w:next w:val="73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9"/>
    <w:next w:val="73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9"/>
    <w:next w:val="73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9"/>
    <w:next w:val="739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39"/>
    <w:next w:val="739"/>
    <w:uiPriority w:val="99"/>
    <w:unhideWhenUsed/>
    <w:pPr>
      <w:spacing w:after="0" w:afterAutospacing="0"/>
    </w:pPr>
  </w:style>
  <w:style w:type="paragraph" w:styleId="739" w:default="1">
    <w:name w:val="Normal"/>
    <w:qFormat/>
  </w:style>
  <w:style w:type="paragraph" w:styleId="740">
    <w:name w:val="Heading 1"/>
    <w:basedOn w:val="739"/>
    <w:next w:val="739"/>
    <w:link w:val="761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41">
    <w:name w:val="Heading 2"/>
    <w:basedOn w:val="739"/>
    <w:next w:val="739"/>
    <w:link w:val="762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42">
    <w:name w:val="Heading 3"/>
    <w:basedOn w:val="739"/>
    <w:next w:val="739"/>
    <w:link w:val="763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43">
    <w:name w:val="Heading 4"/>
    <w:basedOn w:val="739"/>
    <w:next w:val="739"/>
    <w:link w:val="764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44">
    <w:name w:val="Heading 5"/>
    <w:basedOn w:val="739"/>
    <w:next w:val="739"/>
    <w:link w:val="765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45">
    <w:name w:val="Heading 6"/>
    <w:basedOn w:val="739"/>
    <w:next w:val="739"/>
    <w:link w:val="766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46">
    <w:name w:val="Heading 7"/>
    <w:basedOn w:val="739"/>
    <w:next w:val="739"/>
    <w:link w:val="767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47">
    <w:name w:val="Heading 8"/>
    <w:basedOn w:val="739"/>
    <w:next w:val="739"/>
    <w:link w:val="768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48">
    <w:name w:val="Heading 9"/>
    <w:basedOn w:val="739"/>
    <w:next w:val="739"/>
    <w:link w:val="769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paragraph" w:styleId="752">
    <w:name w:val="Header"/>
    <w:basedOn w:val="739"/>
    <w:link w:val="7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3" w:customStyle="1">
    <w:name w:val="Верхний колонтитул Знак"/>
    <w:basedOn w:val="749"/>
    <w:link w:val="752"/>
    <w:uiPriority w:val="99"/>
  </w:style>
  <w:style w:type="paragraph" w:styleId="754">
    <w:name w:val="Footer"/>
    <w:basedOn w:val="739"/>
    <w:link w:val="7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5" w:customStyle="1">
    <w:name w:val="Нижний колонтитул Знак"/>
    <w:basedOn w:val="749"/>
    <w:link w:val="754"/>
    <w:uiPriority w:val="99"/>
  </w:style>
  <w:style w:type="paragraph" w:styleId="756">
    <w:name w:val="No Spacing"/>
    <w:link w:val="757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57" w:customStyle="1">
    <w:name w:val="Без интервала Знак"/>
    <w:basedOn w:val="749"/>
    <w:link w:val="756"/>
    <w:uiPriority w:val="1"/>
    <w:rPr>
      <w:rFonts w:eastAsiaTheme="minorEastAsia"/>
      <w:lang w:eastAsia="ru-RU"/>
    </w:rPr>
  </w:style>
  <w:style w:type="character" w:styleId="758">
    <w:name w:val="Placeholder Text"/>
    <w:basedOn w:val="749"/>
    <w:uiPriority w:val="99"/>
    <w:semiHidden/>
    <w:rPr>
      <w:color w:val="808080"/>
    </w:rPr>
  </w:style>
  <w:style w:type="paragraph" w:styleId="759">
    <w:name w:val="Balloon Text"/>
    <w:basedOn w:val="739"/>
    <w:link w:val="760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60" w:customStyle="1">
    <w:name w:val="Текст выноски Знак"/>
    <w:basedOn w:val="749"/>
    <w:link w:val="759"/>
    <w:rPr>
      <w:rFonts w:ascii="Tahoma" w:hAnsi="Tahoma" w:cs="Tahoma"/>
      <w:sz w:val="16"/>
      <w:szCs w:val="16"/>
    </w:rPr>
  </w:style>
  <w:style w:type="character" w:styleId="761" w:customStyle="1">
    <w:name w:val="Заголовок 1 Знак"/>
    <w:basedOn w:val="749"/>
    <w:link w:val="740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762" w:customStyle="1">
    <w:name w:val="Заголовок 2 Знак"/>
    <w:basedOn w:val="749"/>
    <w:link w:val="741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763" w:customStyle="1">
    <w:name w:val="Заголовок 3 Знак"/>
    <w:basedOn w:val="749"/>
    <w:link w:val="742"/>
    <w:rPr>
      <w:rFonts w:ascii="Arial" w:hAnsi="Arial" w:eastAsia="Times New Roman" w:cs="Arial"/>
      <w:b/>
      <w:bCs/>
      <w:szCs w:val="26"/>
      <w:lang w:val="en-GB"/>
    </w:rPr>
  </w:style>
  <w:style w:type="character" w:styleId="764" w:customStyle="1">
    <w:name w:val="Заголовок 4 Знак"/>
    <w:basedOn w:val="749"/>
    <w:link w:val="743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765" w:customStyle="1">
    <w:name w:val="Заголовок 5 Знак"/>
    <w:basedOn w:val="749"/>
    <w:link w:val="744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766" w:customStyle="1">
    <w:name w:val="Заголовок 6 Знак"/>
    <w:basedOn w:val="749"/>
    <w:link w:val="745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67" w:customStyle="1">
    <w:name w:val="Заголовок 7 Знак"/>
    <w:basedOn w:val="749"/>
    <w:link w:val="746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768" w:customStyle="1">
    <w:name w:val="Заголовок 8 Знак"/>
    <w:basedOn w:val="749"/>
    <w:link w:val="747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769" w:customStyle="1">
    <w:name w:val="Заголовок 9 Знак"/>
    <w:basedOn w:val="749"/>
    <w:link w:val="74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70">
    <w:name w:val="Hyperlink"/>
    <w:uiPriority w:val="99"/>
    <w:rPr>
      <w:color w:val="0000ff"/>
      <w:u w:val="single"/>
    </w:rPr>
  </w:style>
  <w:style w:type="table" w:styleId="771">
    <w:name w:val="Table Grid"/>
    <w:basedOn w:val="7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72">
    <w:name w:val="toc 1"/>
    <w:basedOn w:val="739"/>
    <w:next w:val="739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773" w:customStyle="1">
    <w:name w:val="numbered list"/>
    <w:basedOn w:val="774"/>
  </w:style>
  <w:style w:type="paragraph" w:styleId="774" w:customStyle="1">
    <w:name w:val="bullet"/>
    <w:basedOn w:val="739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75">
    <w:name w:val="page number"/>
    <w:rPr>
      <w:rFonts w:ascii="Arial" w:hAnsi="Arial"/>
      <w:sz w:val="16"/>
    </w:rPr>
  </w:style>
  <w:style w:type="paragraph" w:styleId="776" w:customStyle="1">
    <w:name w:val="Doc subtitle1"/>
    <w:basedOn w:val="739"/>
    <w:link w:val="787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77" w:customStyle="1">
    <w:name w:val="Doc subtitle2"/>
    <w:basedOn w:val="739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778" w:customStyle="1">
    <w:name w:val="Doc title"/>
    <w:basedOn w:val="739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779">
    <w:name w:val="Body Text"/>
    <w:basedOn w:val="739"/>
    <w:link w:val="780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780" w:customStyle="1">
    <w:name w:val="Основной текст Знак"/>
    <w:basedOn w:val="749"/>
    <w:link w:val="779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781">
    <w:name w:val="Body Text Indent 2"/>
    <w:basedOn w:val="739"/>
    <w:link w:val="782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782" w:customStyle="1">
    <w:name w:val="Основной текст с отступом 2 Знак"/>
    <w:basedOn w:val="749"/>
    <w:link w:val="781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783">
    <w:name w:val="Body Text 2"/>
    <w:basedOn w:val="739"/>
    <w:link w:val="784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784" w:customStyle="1">
    <w:name w:val="Основной текст 2 Знак"/>
    <w:basedOn w:val="749"/>
    <w:link w:val="783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785">
    <w:name w:val="Caption"/>
    <w:basedOn w:val="739"/>
    <w:next w:val="739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786" w:customStyle="1">
    <w:name w:val="Абзац списка1"/>
    <w:basedOn w:val="739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87" w:customStyle="1">
    <w:name w:val="Doc subtitle1 Char"/>
    <w:link w:val="776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788">
    <w:name w:val="footnote text"/>
    <w:basedOn w:val="739"/>
    <w:link w:val="789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789" w:customStyle="1">
    <w:name w:val="Текст сноски Знак"/>
    <w:basedOn w:val="749"/>
    <w:link w:val="788"/>
    <w:rPr>
      <w:rFonts w:ascii="Times New Roman" w:hAnsi="Times New Roman" w:eastAsia="Times New Roman" w:cs="Times New Roman"/>
      <w:szCs w:val="20"/>
      <w:lang w:eastAsia="ru-RU"/>
    </w:rPr>
  </w:style>
  <w:style w:type="character" w:styleId="790">
    <w:name w:val="footnote reference"/>
    <w:rPr>
      <w:vertAlign w:val="superscript"/>
    </w:rPr>
  </w:style>
  <w:style w:type="character" w:styleId="791">
    <w:name w:val="FollowedHyperlink"/>
    <w:rPr>
      <w:color w:val="800080"/>
      <w:u w:val="single"/>
    </w:rPr>
  </w:style>
  <w:style w:type="paragraph" w:styleId="792" w:customStyle="1">
    <w:name w:val="цветной текст"/>
    <w:basedOn w:val="739"/>
    <w:qFormat/>
    <w:pPr>
      <w:numPr>
        <w:numId w:val="3"/>
      </w:numPr>
      <w:ind w:left="630" w:hanging="630"/>
      <w:jc w:val="both"/>
      <w:spacing w:after="0" w:line="360" w:lineRule="auto"/>
      <w:tabs>
        <w:tab w:val="clear" w:pos="720" w:leader="none"/>
      </w:tabs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793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794" w:customStyle="1">
    <w:name w:val="выделение цвет"/>
    <w:basedOn w:val="739"/>
    <w:link w:val="807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795" w:customStyle="1">
    <w:name w:val="цвет в таблице"/>
    <w:rPr>
      <w:color w:val="2c8de6"/>
    </w:rPr>
  </w:style>
  <w:style w:type="paragraph" w:styleId="796">
    <w:name w:val="TOC Heading"/>
    <w:basedOn w:val="740"/>
    <w:next w:val="739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797">
    <w:name w:val="toc 2"/>
    <w:basedOn w:val="739"/>
    <w:next w:val="739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798">
    <w:name w:val="toc 3"/>
    <w:basedOn w:val="739"/>
    <w:next w:val="739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799" w:customStyle="1">
    <w:name w:val="!Заголовок-1"/>
    <w:basedOn w:val="740"/>
    <w:link w:val="801"/>
    <w:qFormat/>
    <w:rPr>
      <w:lang w:val="ru-RU"/>
    </w:rPr>
  </w:style>
  <w:style w:type="paragraph" w:styleId="800" w:customStyle="1">
    <w:name w:val="!заголовок-2"/>
    <w:basedOn w:val="741"/>
    <w:link w:val="803"/>
    <w:qFormat/>
    <w:rPr>
      <w:lang w:val="ru-RU"/>
    </w:rPr>
  </w:style>
  <w:style w:type="character" w:styleId="801" w:customStyle="1">
    <w:name w:val="!Заголовок-1 Знак"/>
    <w:link w:val="799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02" w:customStyle="1">
    <w:name w:val="!Текст"/>
    <w:basedOn w:val="739"/>
    <w:link w:val="805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03" w:customStyle="1">
    <w:name w:val="!заголовок-2 Знак"/>
    <w:link w:val="800"/>
    <w:rPr>
      <w:rFonts w:ascii="Arial" w:hAnsi="Arial" w:eastAsia="Times New Roman" w:cs="Times New Roman"/>
      <w:b/>
      <w:sz w:val="28"/>
      <w:szCs w:val="24"/>
    </w:rPr>
  </w:style>
  <w:style w:type="paragraph" w:styleId="804" w:customStyle="1">
    <w:name w:val="!Синий заголовок текста"/>
    <w:basedOn w:val="794"/>
    <w:link w:val="808"/>
    <w:qFormat/>
  </w:style>
  <w:style w:type="character" w:styleId="805" w:customStyle="1">
    <w:name w:val="!Текст Знак"/>
    <w:link w:val="802"/>
    <w:rPr>
      <w:rFonts w:ascii="Times New Roman" w:hAnsi="Times New Roman" w:eastAsia="Times New Roman" w:cs="Times New Roman"/>
      <w:szCs w:val="20"/>
      <w:lang w:eastAsia="ru-RU"/>
    </w:rPr>
  </w:style>
  <w:style w:type="paragraph" w:styleId="806" w:customStyle="1">
    <w:name w:val="!Список с точками"/>
    <w:basedOn w:val="739"/>
    <w:link w:val="810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07" w:customStyle="1">
    <w:name w:val="выделение цвет Знак"/>
    <w:link w:val="794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08" w:customStyle="1">
    <w:name w:val="!Синий заголовок текста Знак"/>
    <w:link w:val="804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09">
    <w:name w:val="List Paragraph"/>
    <w:basedOn w:val="73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10" w:customStyle="1">
    <w:name w:val="!Список с точками Знак"/>
    <w:link w:val="806"/>
    <w:rPr>
      <w:rFonts w:ascii="Times New Roman" w:hAnsi="Times New Roman" w:eastAsia="Times New Roman" w:cs="Times New Roman"/>
      <w:szCs w:val="20"/>
      <w:lang w:eastAsia="ru-RU"/>
    </w:rPr>
  </w:style>
  <w:style w:type="paragraph" w:styleId="811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12" w:customStyle="1">
    <w:name w:val="Интернет-ссылка"/>
    <w:rPr>
      <w:color w:val="0000ff"/>
      <w:u w:val="single"/>
      <w:lang w:val="ru-RU" w:eastAsia="ru-RU" w:bidi="ru-RU"/>
    </w:rPr>
  </w:style>
  <w:style w:type="character" w:styleId="813">
    <w:name w:val="annotation reference"/>
    <w:basedOn w:val="749"/>
    <w:semiHidden/>
    <w:unhideWhenUsed/>
    <w:rPr>
      <w:sz w:val="16"/>
      <w:szCs w:val="16"/>
    </w:rPr>
  </w:style>
  <w:style w:type="paragraph" w:styleId="814">
    <w:name w:val="annotation text"/>
    <w:basedOn w:val="739"/>
    <w:link w:val="815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15" w:customStyle="1">
    <w:name w:val="Текст примечания Знак"/>
    <w:basedOn w:val="749"/>
    <w:link w:val="814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16">
    <w:name w:val="annotation subject"/>
    <w:basedOn w:val="814"/>
    <w:next w:val="814"/>
    <w:link w:val="817"/>
    <w:semiHidden/>
    <w:unhideWhenUsed/>
    <w:rPr>
      <w:b/>
      <w:bCs/>
    </w:rPr>
  </w:style>
  <w:style w:type="character" w:styleId="817" w:customStyle="1">
    <w:name w:val="Тема примечания Знак"/>
    <w:basedOn w:val="815"/>
    <w:link w:val="816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18" w:customStyle="1">
    <w:name w:val="Lista Black"/>
    <w:basedOn w:val="779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19" w:customStyle="1">
    <w:name w:val="Основной текст (14)_"/>
    <w:basedOn w:val="749"/>
    <w:link w:val="820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20" w:customStyle="1">
    <w:name w:val="Основной текст (14)_3"/>
    <w:basedOn w:val="739"/>
    <w:link w:val="819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21" w:customStyle="1">
    <w:name w:val="Неразрешенное упоминание1"/>
    <w:basedOn w:val="749"/>
    <w:uiPriority w:val="99"/>
    <w:semiHidden/>
    <w:unhideWhenUsed/>
    <w:rPr>
      <w:color w:val="605e5c"/>
      <w:shd w:val="clear" w:color="auto" w:fill="e1dfdd"/>
    </w:rPr>
  </w:style>
  <w:style w:type="character" w:styleId="822">
    <w:name w:val="Unresolved Mention"/>
    <w:basedOn w:val="749"/>
    <w:uiPriority w:val="99"/>
    <w:semiHidden/>
    <w:unhideWhenUsed/>
    <w:rPr>
      <w:color w:val="605e5c"/>
      <w:shd w:val="clear" w:color="auto" w:fill="e1dfdd"/>
    </w:rPr>
  </w:style>
  <w:style w:type="paragraph" w:styleId="823">
    <w:name w:val="Normal (Web)"/>
    <w:basedOn w:val="73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4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825" w:customStyle="1">
    <w:name w:val="Основной текст (2)_"/>
    <w:link w:val="827"/>
    <w:rPr>
      <w:rFonts w:ascii="Segoe UI" w:hAnsi="Segoe UI" w:eastAsia="Segoe UI" w:cs="Segoe UI"/>
      <w:sz w:val="19"/>
      <w:szCs w:val="19"/>
      <w:shd w:val="clear" w:color="auto" w:fill="ffffff"/>
    </w:rPr>
  </w:style>
  <w:style w:type="character" w:styleId="826" w:customStyle="1">
    <w:name w:val="Основной текст (2)"/>
    <w:rPr>
      <w:rFonts w:ascii="Segoe UI" w:hAnsi="Segoe UI" w:eastAsia="Segoe UI" w:cs="Segoe UI"/>
      <w:color w:val="000000"/>
      <w:spacing w:val="0"/>
      <w:position w:val="0"/>
      <w:sz w:val="19"/>
      <w:szCs w:val="19"/>
      <w:shd w:val="clear" w:color="auto" w:fill="ffffff"/>
      <w:lang w:val="en-US" w:eastAsia="en-US" w:bidi="en-US"/>
    </w:rPr>
  </w:style>
  <w:style w:type="paragraph" w:styleId="827" w:customStyle="1">
    <w:name w:val="Основной текст (2)_6"/>
    <w:basedOn w:val="739"/>
    <w:link w:val="825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disk.yandex.ru/i/YSaQGG8GWCZrqw&#1080;" TargetMode="External"/><Relationship Id="rId13" Type="http://schemas.openxmlformats.org/officeDocument/2006/relationships/hyperlink" Target="&#1048;&#1085;&#1089;&#1090;&#1088;&#1091;&#1082;&#1094;&#1080;&#1103;%20&#1082;%20&#1084;&#1072;&#1090;&#1088;&#1080;&#1094;&#1077;%20&#1054;&#1073;&#1089;&#1083;&#1091;&#1078;&#1080;&#1074;&#1072;&#1085;&#1080;&#1077;%20&#1075;&#1088;&#1091;&#1079;&#1086;&#1074;&#1086;&#1081;%20&#1090;&#1077;&#1093;&#1085;&#1080;&#1082;&#1080;.docx" TargetMode="External"/><Relationship Id="rId14" Type="http://schemas.openxmlformats.org/officeDocument/2006/relationships/hyperlink" Target="&#1048;&#1085;&#1089;&#1090;&#1088;&#1091;&#1082;&#1094;&#1080;&#1103;%20&#1082;%20&#1084;&#1072;&#1090;&#1088;&#1080;&#1094;&#1077;%20&#1054;&#1073;&#1089;&#1083;&#1091;&#1078;&#1080;&#1074;&#1072;&#1085;&#1080;&#1077;%20&#1075;&#1088;&#1091;&#1079;&#1086;&#1074;&#1086;&#1081;%20&#1090;&#1077;&#1093;&#1085;&#1080;&#1082;&#1080;.docx" TargetMode="External"/><Relationship Id="rId15" Type="http://schemas.openxmlformats.org/officeDocument/2006/relationships/hyperlink" Target="&#1052;&#1072;&#1090;&#1088;&#1080;&#1094;&#1072;.xlsx" TargetMode="External"/><Relationship Id="rId16" Type="http://schemas.openxmlformats.org/officeDocument/2006/relationships/hyperlink" Target="&#1050;&#1054;.xlsx" TargetMode="External"/><Relationship Id="rId17" Type="http://schemas.openxmlformats.org/officeDocument/2006/relationships/hyperlink" Target="&#1048;&#1085;&#1089;&#1090;&#1088;&#1091;&#1082;&#1094;&#1080;&#1103;%20&#1087;&#1086;%20&#1086;&#1093;&#1088;&#1072;&#1085;&#1077;%20&#1090;&#1088;&#1091;&#1076;&#1072;%20&#1080;%20&#1058;&#1041;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Артур Ялаев</cp:lastModifiedBy>
  <cp:revision>184</cp:revision>
  <dcterms:created xsi:type="dcterms:W3CDTF">2023-01-12T10:59:00Z</dcterms:created>
  <dcterms:modified xsi:type="dcterms:W3CDTF">2023-02-15T07:03:28Z</dcterms:modified>
</cp:coreProperties>
</file>