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b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304380" cy="1286510"/>
                <wp:effectExtent l="0" t="0" r="0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3441881" cy="13400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60.19pt;height:101.30pt;mso-wrap-distance-left:0.00pt;mso-wrap-distance-top:0.00pt;mso-wrap-distance-right:0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8"/>
        </w:rPr>
      </w:r>
      <w:r>
        <w:rPr>
          <w:rFonts w:ascii="Times New Roman" w:hAnsi="Times New Roman" w:cs="Times New Roman"/>
          <w:b/>
          <w:sz w:val="24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ПРОГРАММА ПРОВЕДЕНИЯ</w:t>
      </w:r>
      <w:r>
        <w:rPr>
          <w:rFonts w:ascii="Times New Roman" w:hAnsi="Times New Roman" w:cs="Times New Roman"/>
          <w:b/>
          <w:sz w:val="24"/>
          <w:szCs w:val="28"/>
        </w:rPr>
      </w:r>
      <w:r>
        <w:rPr>
          <w:rFonts w:ascii="Times New Roman" w:hAnsi="Times New Roman" w:cs="Times New Roman"/>
          <w:b/>
          <w:sz w:val="24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(Наименование этапа)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этапа ч</w:t>
      </w:r>
      <w:r>
        <w:rPr>
          <w:rFonts w:ascii="Times New Roman" w:hAnsi="Times New Roman" w:cs="Times New Roman"/>
          <w:b/>
          <w:sz w:val="24"/>
          <w:szCs w:val="28"/>
        </w:rPr>
        <w:t xml:space="preserve">емпионат</w:t>
      </w:r>
      <w:r>
        <w:rPr>
          <w:rFonts w:ascii="Times New Roman" w:hAnsi="Times New Roman" w:cs="Times New Roman"/>
          <w:b/>
          <w:sz w:val="24"/>
          <w:szCs w:val="28"/>
        </w:rPr>
        <w:t xml:space="preserve">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(наименование региона)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</w:r>
      <w:r>
        <w:rPr>
          <w:rFonts w:ascii="Times New Roman" w:hAnsi="Times New Roman" w:cs="Times New Roman"/>
          <w:b/>
          <w:color w:val="ff0000"/>
          <w:sz w:val="24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>
        <w:rPr>
          <w:rFonts w:ascii="Times New Roman" w:hAnsi="Times New Roman" w:cs="Times New Roman"/>
          <w:b/>
          <w:sz w:val="24"/>
          <w:szCs w:val="28"/>
        </w:rPr>
        <w:t xml:space="preserve">«Внешнее пилотирование и эксплуатация беспилотных авиационных систем»</w:t>
      </w:r>
      <w:r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</w:r>
    </w:p>
    <w:tbl>
      <w:tblPr>
        <w:tblStyle w:val="943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>
        <w:trPr>
          <w:trHeight w:val="555"/>
        </w:trPr>
        <w:tc>
          <w:tcPr>
            <w:gridSpan w:val="2"/>
            <w:shd w:val="clear" w:color="auto" w:fill="9bdb7f"/>
            <w:tcW w:w="755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Общая информация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</w:tc>
      </w:tr>
      <w:tr>
        <w:trPr/>
        <w:tc>
          <w:tcPr>
            <w:tcW w:w="3145" w:type="dxa"/>
            <w:vAlign w:val="center"/>
            <w:textDirection w:val="lrTb"/>
            <w:noWrap w:val="false"/>
          </w:tcPr>
          <w:p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Период проведения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</w:tc>
        <w:tc>
          <w:tcPr>
            <w:tcW w:w="4410" w:type="dxa"/>
            <w:textDirection w:val="lrTb"/>
            <w:noWrap w:val="false"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</w:tr>
      <w:tr>
        <w:trPr/>
        <w:tc>
          <w:tcPr>
            <w:tcW w:w="3145" w:type="dxa"/>
            <w:vAlign w:val="center"/>
            <w:textDirection w:val="lrTb"/>
            <w:noWrap w:val="false"/>
          </w:tcPr>
          <w:p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Место проведения и адрес площадки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</w:tc>
        <w:tc>
          <w:tcPr>
            <w:tcW w:w="4410" w:type="dxa"/>
            <w:textDirection w:val="lrTb"/>
            <w:noWrap w:val="false"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</w:tr>
      <w:tr>
        <w:trPr>
          <w:trHeight w:val="480"/>
        </w:trPr>
        <w:tc>
          <w:tcPr>
            <w:tcW w:w="3145" w:type="dxa"/>
            <w:vAlign w:val="center"/>
            <w:textDirection w:val="lrTb"/>
            <w:noWrap w:val="false"/>
          </w:tcPr>
          <w:p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ФИО</w:t>
            </w:r>
            <w:r>
              <w:rPr>
                <w:b/>
                <w:sz w:val="24"/>
                <w:szCs w:val="28"/>
              </w:rPr>
              <w:t xml:space="preserve"> Главного эксперта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</w:tc>
        <w:tc>
          <w:tcPr>
            <w:tcW w:w="4410" w:type="dxa"/>
            <w:textDirection w:val="lrTb"/>
            <w:noWrap w:val="false"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</w:tr>
      <w:tr>
        <w:trPr>
          <w:trHeight w:val="480"/>
        </w:trPr>
        <w:tc>
          <w:tcPr>
            <w:tcW w:w="3145" w:type="dxa"/>
            <w:vAlign w:val="center"/>
            <w:textDirection w:val="lrTb"/>
            <w:noWrap w:val="false"/>
          </w:tcPr>
          <w:p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Контакты Главного эксперта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</w:tc>
        <w:tc>
          <w:tcPr>
            <w:tcW w:w="4410" w:type="dxa"/>
            <w:textDirection w:val="lrTb"/>
            <w:noWrap w:val="false"/>
          </w:tcPr>
          <w:p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</w:r>
    </w:p>
    <w:tbl>
      <w:tblPr>
        <w:tblStyle w:val="94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>
        <w:trPr>
          <w:trHeight w:val="515"/>
        </w:trPr>
        <w:tc>
          <w:tcPr>
            <w:gridSpan w:val="2"/>
            <w:shd w:val="clear" w:color="auto" w:fill="bee7ab"/>
            <w:tcW w:w="1045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</w:t>
            </w:r>
            <w:r>
              <w:rPr>
                <w:b/>
                <w:sz w:val="24"/>
                <w:szCs w:val="28"/>
              </w:rPr>
              <w:t xml:space="preserve">-</w:t>
            </w:r>
            <w:r>
              <w:rPr>
                <w:b/>
                <w:sz w:val="24"/>
                <w:szCs w:val="28"/>
              </w:rPr>
              <w:t xml:space="preserve">2 </w:t>
            </w:r>
            <w:r>
              <w:rPr>
                <w:b/>
                <w:sz w:val="24"/>
                <w:szCs w:val="28"/>
              </w:rPr>
              <w:t xml:space="preserve">/ «</w:t>
            </w:r>
            <w:r>
              <w:rPr>
                <w:b/>
                <w:sz w:val="24"/>
                <w:szCs w:val="28"/>
              </w:rPr>
              <w:t xml:space="preserve">___</w:t>
            </w:r>
            <w:r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 xml:space="preserve">___________</w:t>
            </w:r>
            <w:r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 xml:space="preserve">4</w:t>
            </w:r>
            <w:r>
              <w:rPr>
                <w:b/>
                <w:sz w:val="24"/>
                <w:szCs w:val="28"/>
              </w:rPr>
              <w:t xml:space="preserve"> г.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</w:tc>
      </w:tr>
      <w:tr>
        <w:trPr/>
        <w:tc>
          <w:tcPr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09:00-</w:t>
            </w:r>
            <w:r>
              <w:rPr>
                <w:sz w:val="24"/>
                <w:szCs w:val="24"/>
              </w:rPr>
              <w:t xml:space="preserve">09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15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618" w:type="dxa"/>
            <w:textDirection w:val="lrTb"/>
            <w:noWrap w:val="false"/>
          </w:tcPr>
          <w:p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Начало работы площадки. Регистрация экспертов на площадке.</w: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15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09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45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618" w:type="dxa"/>
            <w:textDirection w:val="lrTb"/>
            <w:noWrap w:val="false"/>
          </w:tcPr>
          <w:p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Проведение инструктажа по ТБ и ОТ. Подписание протоколов об ознакомлении экспертов с правилами ТБ и ОТ на площадке.</w: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5-11.15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618" w:type="dxa"/>
            <w:textDirection w:val="lrTb"/>
            <w:noWrap w:val="false"/>
          </w:tcPr>
          <w:p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Ознакомление экспертов с конкурсной документацией. Внесение 30% изменений в задание. Подписание протокола об ознакомлении экспертов с конкурсной документацией.</w: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11:15-12:00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618" w:type="dxa"/>
            <w:textDirection w:val="lrTb"/>
            <w:noWrap w:val="false"/>
          </w:tcPr>
          <w:p>
            <w:pPr>
              <w:jc w:val="both"/>
              <w:tabs>
                <w:tab w:val="left" w:pos="1044" w:leader="none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Ознакомление экспертов с критериями оценивания, внесение изменений в критерии оценивания, подписание протокола об ознакомлении с критериями оценивания.</w: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12:00-13:00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618" w:type="dxa"/>
            <w:textDirection w:val="lrTb"/>
            <w:noWrap w:val="false"/>
          </w:tcPr>
          <w:p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Обед.</w: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13.00-13.</w:t>
            </w: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618" w:type="dxa"/>
            <w:textDirection w:val="lrTb"/>
            <w:noWrap w:val="false"/>
          </w:tcPr>
          <w:p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Регистрация участников на площадке. Жеребьевка для проведения обучения участников с оборудованием</w:t>
            </w:r>
            <w:r>
              <w:rPr>
                <w:b/>
                <w:i/>
                <w:sz w:val="24"/>
                <w:szCs w:val="24"/>
              </w:rPr>
              <w:t xml:space="preserve">.</w: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</w:t>
            </w: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  <w:t xml:space="preserve">-13.30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618" w:type="dxa"/>
            <w:textDirection w:val="lrTb"/>
            <w:noWrap w:val="false"/>
          </w:tcPr>
          <w:p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Проведение инструктажа по ТБ и ОТ. Подписание протоколов об ознакомлении участников с правилами ТБ и ОТ на площадке.</w: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13.30-14.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618" w:type="dxa"/>
            <w:textDirection w:val="lrTb"/>
            <w:noWrap w:val="false"/>
          </w:tcPr>
          <w:p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Ознакомление участников с конкурсной документацией. Подписание протокола об ознакомлении участников с конкурсной документацией.</w: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0-15.00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618" w:type="dxa"/>
            <w:textDirection w:val="lrTb"/>
            <w:noWrap w:val="false"/>
          </w:tcPr>
          <w:p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Проведение обучения для участников по модулям: А, Б, В и Г вместе, Д и Е в соответствии с жеребьевкой</w: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618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Подписание протоколов об ознакомлении участников с оборудованием в соответствии с жеребьевкой.</w:t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183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0-1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618" w:type="dxa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Брифинг с участниками и экспертами. Завершение работы площадки.</w:t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510"/>
        </w:trPr>
        <w:tc>
          <w:tcPr>
            <w:gridSpan w:val="2"/>
            <w:shd w:val="clear" w:color="auto" w:fill="bee7ab"/>
            <w:tcW w:w="1045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</w:t>
            </w:r>
            <w:r>
              <w:rPr>
                <w:b/>
                <w:sz w:val="24"/>
                <w:szCs w:val="28"/>
              </w:rPr>
              <w:t xml:space="preserve">-</w:t>
            </w:r>
            <w:r>
              <w:rPr>
                <w:b/>
                <w:sz w:val="24"/>
                <w:szCs w:val="28"/>
              </w:rPr>
              <w:t xml:space="preserve">1</w:t>
            </w:r>
            <w:r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 xml:space="preserve">___</w:t>
            </w:r>
            <w:r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 xml:space="preserve">___________</w:t>
            </w:r>
            <w:r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 xml:space="preserve">4</w:t>
            </w:r>
            <w:r>
              <w:rPr>
                <w:b/>
                <w:sz w:val="24"/>
                <w:szCs w:val="28"/>
              </w:rPr>
              <w:t xml:space="preserve"> г.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</w:tc>
      </w:tr>
      <w:tr>
        <w:trPr>
          <w:trHeight w:val="278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09:00-</w:t>
            </w:r>
            <w:r>
              <w:rPr>
                <w:sz w:val="24"/>
                <w:szCs w:val="24"/>
              </w:rPr>
              <w:t xml:space="preserve">09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15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Начало работы площадки. Регистрация экспертов и участников на площадке.</w:t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278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</w:t>
            </w:r>
            <w:r>
              <w:rPr>
                <w:sz w:val="24"/>
                <w:szCs w:val="24"/>
              </w:rPr>
              <w:t xml:space="preserve">15</w:t>
            </w:r>
            <w:r>
              <w:rPr>
                <w:sz w:val="24"/>
                <w:szCs w:val="24"/>
              </w:rPr>
              <w:t xml:space="preserve">-09:45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Проведение инструктажа по ТБ и ОТ для экспертов и участников. Подписание протоколов об ознакомлении экспертов и участников с правилами ТБ и ОТ на площадке.</w:t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152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09:45-10:00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 xml:space="preserve">Регистрация участников на площадке.</w:t>
            </w:r>
            <w:r>
              <w:rPr>
                <w:b/>
                <w:bCs/>
                <w:i/>
                <w:iCs/>
                <w:sz w:val="24"/>
                <w:szCs w:val="28"/>
              </w:rPr>
            </w:r>
            <w:r>
              <w:rPr>
                <w:b/>
                <w:bCs/>
                <w:i/>
                <w:iCs/>
                <w:sz w:val="24"/>
                <w:szCs w:val="28"/>
              </w:rPr>
            </w:r>
          </w:p>
        </w:tc>
      </w:tr>
      <w:tr>
        <w:trPr>
          <w:trHeight w:val="70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10:00-1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Продолжение обучения участников модулям: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А,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Б, В и Г вместе, Д в соответствии с жеребьевкой.</w:t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70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12:00-13:00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tabs>
                <w:tab w:val="left" w:pos="4944" w:leader="none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Обед.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Трансфер на площадку проведения модулей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Б,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В и Г.</w:t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70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13:00-15:00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Ознакомление участников с рабочими местами по модулям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Б,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В и Г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.</w:t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70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0-1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:30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Подписание протоколов об ознакомлении участников с оборудованием в соответствии с жеребьевкой.</w:t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80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0-1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Проведение жеребьёвки участников, ознакомление с планом проведения чемпионата в соответствии с номером участника.</w:t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80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16:00-16:30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Брифинг с участниками и экспертами. Завершение работы площадки.</w:t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510"/>
        </w:trPr>
        <w:tc>
          <w:tcPr>
            <w:gridSpan w:val="2"/>
            <w:shd w:val="clear" w:color="auto" w:fill="bee7ab"/>
            <w:tcW w:w="104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>
              <w:rPr>
                <w:b/>
                <w:sz w:val="24"/>
                <w:szCs w:val="28"/>
              </w:rPr>
              <w:t xml:space="preserve">/ «</w:t>
            </w:r>
            <w:r>
              <w:rPr>
                <w:b/>
                <w:sz w:val="24"/>
                <w:szCs w:val="28"/>
              </w:rPr>
              <w:t xml:space="preserve">___</w:t>
            </w:r>
            <w:r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 xml:space="preserve">___________ 2024 г.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</w:tr>
      <w:tr>
        <w:trPr>
          <w:trHeight w:val="70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45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55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Начало работы площадки. Регистрация экспертов и участников на площадке.</w:t>
            </w:r>
            <w:r>
              <w:rPr>
                <w:b/>
                <w:bCs/>
                <w:i/>
                <w:iCs/>
                <w:sz w:val="24"/>
                <w:szCs w:val="28"/>
              </w:rPr>
            </w:r>
            <w:r>
              <w:rPr>
                <w:b/>
                <w:bCs/>
                <w:i/>
                <w:iCs/>
                <w:sz w:val="24"/>
                <w:szCs w:val="28"/>
              </w:rPr>
            </w:r>
          </w:p>
        </w:tc>
      </w:tr>
      <w:tr>
        <w:trPr>
          <w:trHeight w:val="70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55</w:t>
            </w:r>
            <w:r>
              <w:rPr>
                <w:sz w:val="24"/>
                <w:szCs w:val="24"/>
              </w:rPr>
              <w:t xml:space="preserve">-09:</w:t>
            </w:r>
            <w:r>
              <w:rPr>
                <w:sz w:val="24"/>
                <w:szCs w:val="24"/>
              </w:rPr>
              <w:t xml:space="preserve">15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Проведение инструктажа по ТБ и ОТ для экспертов и участников. Подписание протоколов об ознакомлении экспертов и участников с правилами ТБ и ОТ на площадке.</w:t>
            </w:r>
            <w:r>
              <w:rPr>
                <w:b/>
                <w:bCs/>
                <w:i/>
                <w:iCs/>
                <w:sz w:val="24"/>
                <w:szCs w:val="28"/>
              </w:rPr>
            </w:r>
            <w:r>
              <w:rPr>
                <w:b/>
                <w:bCs/>
                <w:i/>
                <w:iCs/>
                <w:sz w:val="24"/>
                <w:szCs w:val="28"/>
              </w:rPr>
            </w:r>
          </w:p>
        </w:tc>
      </w:tr>
      <w:tr>
        <w:trPr>
          <w:trHeight w:val="70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09:</w:t>
            </w:r>
            <w:r>
              <w:rPr>
                <w:sz w:val="24"/>
                <w:szCs w:val="24"/>
              </w:rPr>
              <w:t xml:space="preserve">15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09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25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 xml:space="preserve">Регистрация участников на площадке.</w:t>
            </w:r>
            <w:r>
              <w:rPr>
                <w:b/>
                <w:bCs/>
                <w:i/>
                <w:iCs/>
                <w:sz w:val="24"/>
                <w:szCs w:val="28"/>
              </w:rPr>
            </w:r>
            <w:r>
              <w:rPr>
                <w:b/>
                <w:bCs/>
                <w:i/>
                <w:iCs/>
                <w:sz w:val="24"/>
                <w:szCs w:val="28"/>
              </w:rPr>
            </w:r>
          </w:p>
        </w:tc>
      </w:tr>
      <w:tr>
        <w:trPr>
          <w:trHeight w:val="70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09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25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09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45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Проведение инструктажа по ТБ и ОТ. Подписание протоколов об ознакомлении участников с правилами ТБ и ОТ на площадке.</w:t>
            </w:r>
            <w:r>
              <w:rPr>
                <w:b/>
                <w:bCs/>
                <w:i/>
                <w:iCs/>
                <w:sz w:val="24"/>
                <w:szCs w:val="28"/>
              </w:rPr>
            </w:r>
            <w:r>
              <w:rPr>
                <w:b/>
                <w:bCs/>
                <w:i/>
                <w:iCs/>
                <w:sz w:val="24"/>
                <w:szCs w:val="28"/>
              </w:rPr>
            </w:r>
          </w:p>
        </w:tc>
      </w:tr>
      <w:tr>
        <w:trPr>
          <w:trHeight w:val="70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09:45-10:00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 xml:space="preserve">Распределение участников по рабочим местам. Выдача заданий по модулям в соответствии с жеребьевкой. Ознакомление с заданием по модулям (не менее 15 минут)</w:t>
            </w:r>
            <w:r>
              <w:rPr>
                <w:b/>
                <w:bCs/>
                <w:i/>
                <w:iCs/>
                <w:sz w:val="24"/>
                <w:szCs w:val="28"/>
              </w:rPr>
              <w:t xml:space="preserve">.</w:t>
            </w:r>
            <w:r>
              <w:rPr>
                <w:b/>
                <w:bCs/>
                <w:i/>
                <w:iCs/>
                <w:sz w:val="24"/>
                <w:szCs w:val="28"/>
              </w:rPr>
            </w:r>
            <w:r>
              <w:rPr>
                <w:b/>
                <w:bCs/>
                <w:i/>
                <w:iCs/>
                <w:sz w:val="24"/>
                <w:szCs w:val="28"/>
              </w:rPr>
            </w:r>
          </w:p>
        </w:tc>
      </w:tr>
      <w:tr>
        <w:trPr>
          <w:trHeight w:val="70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10:00-12:00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 xml:space="preserve">Выполнение модулей</w:t>
            </w:r>
            <w:r>
              <w:rPr>
                <w:b/>
                <w:bCs/>
                <w:i/>
                <w:iCs/>
                <w:sz w:val="24"/>
                <w:szCs w:val="28"/>
              </w:rPr>
              <w:t xml:space="preserve">.</w:t>
            </w:r>
            <w:r>
              <w:rPr>
                <w:b/>
                <w:bCs/>
                <w:i/>
                <w:iCs/>
                <w:sz w:val="24"/>
                <w:szCs w:val="28"/>
              </w:rPr>
            </w:r>
            <w:r>
              <w:rPr>
                <w:b/>
                <w:bCs/>
                <w:i/>
                <w:iCs/>
                <w:sz w:val="24"/>
                <w:szCs w:val="28"/>
              </w:rPr>
            </w:r>
          </w:p>
        </w:tc>
      </w:tr>
      <w:tr>
        <w:trPr>
          <w:trHeight w:val="70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0-13:00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Обед.</w:t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70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:00-20</w:t>
            </w:r>
            <w:r>
              <w:rPr>
                <w:sz w:val="24"/>
                <w:szCs w:val="24"/>
              </w:rPr>
              <w:t xml:space="preserve">:00</w:t>
            </w:r>
            <w:r>
              <w:rPr>
                <w:b/>
                <w:sz w:val="24"/>
                <w:szCs w:val="28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 xml:space="preserve">Выполнение модулей</w:t>
            </w:r>
            <w:r>
              <w:rPr>
                <w:b/>
                <w:bCs/>
                <w:i/>
                <w:iCs/>
                <w:sz w:val="24"/>
                <w:szCs w:val="28"/>
              </w:rPr>
              <w:t xml:space="preserve">.</w:t>
            </w:r>
            <w:r>
              <w:rPr>
                <w:b/>
                <w:bCs/>
                <w:i/>
                <w:iCs/>
                <w:sz w:val="24"/>
                <w:szCs w:val="28"/>
              </w:rPr>
            </w:r>
            <w:r>
              <w:rPr>
                <w:b/>
                <w:bCs/>
                <w:i/>
                <w:iCs/>
                <w:sz w:val="24"/>
                <w:szCs w:val="28"/>
              </w:rPr>
            </w:r>
          </w:p>
        </w:tc>
      </w:tr>
      <w:tr>
        <w:trPr>
          <w:trHeight w:val="70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00</w:t>
            </w:r>
            <w:r>
              <w:rPr>
                <w:sz w:val="24"/>
                <w:szCs w:val="24"/>
              </w:rPr>
              <w:t xml:space="preserve">-21</w:t>
            </w:r>
            <w:r>
              <w:rPr>
                <w:sz w:val="24"/>
                <w:szCs w:val="24"/>
              </w:rPr>
              <w:t xml:space="preserve">:00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Окончание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выполнения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модулей. Работа группы оценивания. Выставление оценок. Внесение оценок в цифровую платформу.</w:t>
            </w:r>
            <w:r>
              <w:rPr>
                <w:b/>
                <w:bCs/>
                <w:i/>
                <w:iCs/>
                <w:sz w:val="24"/>
                <w:szCs w:val="28"/>
              </w:rPr>
            </w:r>
            <w:r>
              <w:rPr>
                <w:b/>
                <w:bCs/>
                <w:i/>
                <w:iCs/>
                <w:sz w:val="24"/>
                <w:szCs w:val="28"/>
              </w:rPr>
            </w:r>
          </w:p>
        </w:tc>
      </w:tr>
      <w:tr>
        <w:trPr>
          <w:trHeight w:val="510"/>
        </w:trPr>
        <w:tc>
          <w:tcPr>
            <w:gridSpan w:val="2"/>
            <w:shd w:val="clear" w:color="auto" w:fill="bee7ab"/>
            <w:tcW w:w="1045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>
              <w:rPr>
                <w:b/>
                <w:sz w:val="24"/>
                <w:szCs w:val="28"/>
              </w:rPr>
              <w:t xml:space="preserve">/ «</w:t>
            </w:r>
            <w:r>
              <w:rPr>
                <w:b/>
                <w:sz w:val="24"/>
                <w:szCs w:val="28"/>
              </w:rPr>
              <w:t xml:space="preserve">___</w:t>
            </w:r>
            <w:r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 xml:space="preserve">___________ 2024 г.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</w:tc>
      </w:tr>
      <w:tr>
        <w:trPr>
          <w:trHeight w:val="170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40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08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50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Начало работы площадки. Регистрация экспертов и участников на площадке.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</w:tr>
      <w:tr>
        <w:trPr>
          <w:trHeight w:val="170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50</w:t>
            </w:r>
            <w:r>
              <w:rPr>
                <w:sz w:val="24"/>
                <w:szCs w:val="24"/>
              </w:rPr>
              <w:t xml:space="preserve">-09:</w:t>
            </w: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Проведение инструктажа по ТБ и ОТ для экспертов и участников. Подписание протоколов об ознакомлении экспертов и участников с правилами ТБ и ОТ на площадке.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</w:tr>
      <w:tr>
        <w:trPr>
          <w:trHeight w:val="70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</w:t>
            </w: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09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 xml:space="preserve">Регистрация участников на площадке.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</w:tr>
      <w:tr>
        <w:trPr>
          <w:trHeight w:val="70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-10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Трансфер до площадки проведения модулей Б, В и Г.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143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10:00-12:00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 xml:space="preserve">Выполнение модулей</w:t>
            </w:r>
            <w:r>
              <w:rPr>
                <w:b/>
                <w:bCs/>
                <w:i/>
                <w:iCs/>
                <w:sz w:val="24"/>
                <w:szCs w:val="28"/>
              </w:rPr>
              <w:t xml:space="preserve">.</w:t>
            </w:r>
            <w:r>
              <w:rPr>
                <w:b/>
                <w:bCs/>
                <w:i/>
                <w:iCs/>
                <w:sz w:val="24"/>
                <w:szCs w:val="28"/>
              </w:rPr>
            </w:r>
            <w:r>
              <w:rPr>
                <w:b/>
                <w:bCs/>
                <w:i/>
                <w:iCs/>
                <w:sz w:val="24"/>
                <w:szCs w:val="28"/>
              </w:rPr>
            </w:r>
          </w:p>
        </w:tc>
      </w:tr>
      <w:tr>
        <w:trPr>
          <w:trHeight w:val="70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12:00-13:00</w:t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Обед.</w:t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70"/>
        </w:trPr>
        <w:tc>
          <w:tcPr>
            <w:shd w:val="clear" w:color="ffffff" w:fill="ffffff"/>
            <w:tcW w:w="183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13:00-18:30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W w:w="8618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b/>
                <w:bCs/>
                <w:i/>
                <w:iCs/>
                <w:sz w:val="24"/>
                <w:szCs w:val="28"/>
              </w:rPr>
              <w:t xml:space="preserve">Выполнение модулей</w:t>
            </w:r>
            <w:r>
              <w:rPr>
                <w:b/>
                <w:bCs/>
                <w:i/>
                <w:iCs/>
                <w:sz w:val="24"/>
                <w:szCs w:val="28"/>
              </w:rPr>
              <w:t xml:space="preserve">.</w:t>
            </w:r>
            <w:r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38"/>
        </w:trPr>
        <w:tc>
          <w:tcPr>
            <w:shd w:val="clear" w:color="auto" w:fill="auto"/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19:00-19:40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861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Трансфер с площадки проведения модулей Б, В и Г.</w:t>
            </w:r>
            <w:r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510"/>
        </w:trPr>
        <w:tc>
          <w:tcPr>
            <w:gridSpan w:val="2"/>
            <w:shd w:val="clear" w:color="auto" w:fill="bee7ab"/>
            <w:tcW w:w="1045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</w:t>
            </w:r>
            <w:r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 xml:space="preserve">___</w:t>
            </w:r>
            <w:r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 xml:space="preserve">___________ 2024 г.</w:t>
            </w:r>
            <w:r>
              <w:rPr>
                <w:b/>
                <w:sz w:val="24"/>
                <w:szCs w:val="28"/>
              </w:rPr>
            </w:r>
            <w:r>
              <w:rPr>
                <w:b/>
                <w:sz w:val="24"/>
                <w:szCs w:val="28"/>
              </w:rPr>
            </w:r>
          </w:p>
        </w:tc>
      </w:tr>
      <w:tr>
        <w:trPr>
          <w:trHeight w:val="70"/>
        </w:trPr>
        <w:tc>
          <w:tcPr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40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08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50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61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Начало работы площадки. Регистрация экспертов и участников на площадке.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</w:tr>
      <w:tr>
        <w:trPr>
          <w:trHeight w:val="70"/>
        </w:trPr>
        <w:tc>
          <w:tcPr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50</w:t>
            </w:r>
            <w:r>
              <w:rPr>
                <w:sz w:val="24"/>
                <w:szCs w:val="24"/>
              </w:rPr>
              <w:t xml:space="preserve">-09:</w:t>
            </w: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  <w:tc>
          <w:tcPr>
            <w:tcW w:w="861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Проведение инструктажа по ТБ и ОТ для экспертов и участников. Подписание протоколов об ознакомлении экспертов и участников с правилами ТБ и ОТ на площадке.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</w:tr>
      <w:tr>
        <w:trPr>
          <w:trHeight w:val="70"/>
        </w:trPr>
        <w:tc>
          <w:tcPr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</w:t>
            </w: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09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61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 xml:space="preserve">Регистрация участников на площадке.</w:t>
            </w: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</w:p>
        </w:tc>
      </w:tr>
      <w:tr>
        <w:trPr>
          <w:trHeight w:val="70"/>
        </w:trPr>
        <w:tc>
          <w:tcPr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-10</w:t>
            </w:r>
            <w:r>
              <w:rPr>
                <w:sz w:val="24"/>
                <w:szCs w:val="24"/>
              </w:rPr>
              <w:t xml:space="preserve">:</w:t>
            </w:r>
            <w:r>
              <w:rPr>
                <w:sz w:val="24"/>
                <w:szCs w:val="24"/>
              </w:rPr>
              <w:t xml:space="preserve">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61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Трансфер до площадки проведения модулей Б, В и Г.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166"/>
        </w:trPr>
        <w:tc>
          <w:tcPr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10:00-12:00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618" w:type="dxa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 xml:space="preserve">Выполнение модулей</w:t>
            </w:r>
            <w:r>
              <w:rPr>
                <w:b/>
                <w:bCs/>
                <w:i/>
                <w:iCs/>
                <w:sz w:val="24"/>
                <w:szCs w:val="28"/>
              </w:rPr>
              <w:t xml:space="preserve">.</w:t>
            </w:r>
            <w:r>
              <w:rPr>
                <w:b/>
                <w:bCs/>
                <w:i/>
                <w:iCs/>
                <w:sz w:val="24"/>
                <w:szCs w:val="28"/>
              </w:rPr>
            </w:r>
            <w:r>
              <w:rPr>
                <w:b/>
                <w:bCs/>
                <w:i/>
                <w:iCs/>
                <w:sz w:val="24"/>
                <w:szCs w:val="28"/>
              </w:rPr>
            </w:r>
          </w:p>
        </w:tc>
      </w:tr>
      <w:tr>
        <w:trPr>
          <w:trHeight w:val="70"/>
        </w:trPr>
        <w:tc>
          <w:tcPr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12:00-13:00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618" w:type="dxa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Обед.</w:t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  <w:r>
              <w:rPr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70"/>
        </w:trPr>
        <w:tc>
          <w:tcPr>
            <w:tcW w:w="183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13:00-18:00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61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b/>
                <w:bCs/>
                <w:i/>
                <w:iCs/>
                <w:sz w:val="24"/>
                <w:szCs w:val="28"/>
              </w:rPr>
              <w:t xml:space="preserve">Выполнение модулей</w:t>
            </w:r>
            <w:r>
              <w:rPr>
                <w:b/>
                <w:bCs/>
                <w:i/>
                <w:iCs/>
                <w:sz w:val="24"/>
                <w:szCs w:val="28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70"/>
        </w:trPr>
        <w:tc>
          <w:tcPr>
            <w:tcW w:w="183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18:30-19:10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618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Трансфер с площадки проведения модулей Б, В и Г.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720" w:right="720" w:bottom="720" w:left="720" w:header="624" w:footer="17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504020204"/>
  </w:font>
  <w:font w:name="DejaVu Sans">
    <w:panose1 w:val="020B0603030804020204"/>
  </w:font>
  <w:font w:name="Noto Sans Symbols">
    <w:panose1 w:val="05040102010807070707"/>
  </w:font>
  <w:font w:name="Cambria">
    <w:panose1 w:val="02040503050406030204"/>
  </w:font>
  <w:font w:name="Calibri">
    <w:panose1 w:val="020F0502020204030204"/>
  </w:font>
  <w:font w:name="FrutigerLTStd-Light">
    <w:panose1 w:val="05040102010807070707"/>
  </w:font>
  <w:font w:name="Tahoma">
    <w:panose1 w:val="020B0506030602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jc w:val="center"/>
      <w:tblCellMar>
        <w:left w:w="115" w:type="dxa"/>
        <w:top w:w="144" w:type="dxa"/>
        <w:right w:w="115" w:type="dxa"/>
        <w:bottom w:w="144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>
      <w:trPr>
        <w:jc w:val="center"/>
      </w:trPr>
      <w:tc>
        <w:tcPr>
          <w:shd w:val="clear" w:color="auto" w:fill="auto"/>
          <w:tcW w:w="5954" w:type="dxa"/>
          <w:vAlign w:val="center"/>
          <w:textDirection w:val="lrTb"/>
          <w:noWrap w:val="false"/>
        </w:tcPr>
        <w:p>
          <w:pPr>
            <w:pStyle w:val="926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</w:r>
          <w:r>
            <w:rPr>
              <w:rFonts w:ascii="Times New Roman" w:hAnsi="Times New Roman" w:cs="Times New Roman"/>
              <w:caps/>
              <w:sz w:val="18"/>
              <w:szCs w:val="18"/>
            </w:rPr>
          </w:r>
          <w:r>
            <w:rPr>
              <w:rFonts w:ascii="Times New Roman" w:hAnsi="Times New Roman" w:cs="Times New Roman"/>
              <w:caps/>
              <w:sz w:val="18"/>
              <w:szCs w:val="18"/>
            </w:rPr>
          </w:r>
        </w:p>
      </w:tc>
      <w:tc>
        <w:tcPr>
          <w:shd w:val="clear" w:color="auto" w:fill="auto"/>
          <w:tcW w:w="3685" w:type="dxa"/>
          <w:vAlign w:val="center"/>
          <w:textDirection w:val="lrTb"/>
          <w:noWrap w:val="false"/>
        </w:tcPr>
        <w:p>
          <w:pPr>
            <w:pStyle w:val="926"/>
            <w:jc w:val="right"/>
            <w:tabs>
              <w:tab w:val="clear" w:pos="4677" w:leader="none"/>
              <w:tab w:val="clear" w:pos="9355" w:leader="none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 xml:space="preserve"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 xml:space="preserve"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</w:r>
          <w:r>
            <w:rPr>
              <w:rFonts w:ascii="Times New Roman" w:hAnsi="Times New Roman" w:cs="Times New Roman"/>
              <w:caps/>
              <w:sz w:val="18"/>
              <w:szCs w:val="18"/>
            </w:rPr>
          </w:r>
        </w:p>
      </w:tc>
    </w:tr>
  </w:tbl>
  <w:p>
    <w:pPr>
      <w:pStyle w:val="92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tabs>
        <w:tab w:val="clear" w:pos="9355" w:leader="none"/>
        <w:tab w:val="right" w:pos="10631" w:leader="none"/>
      </w:tabs>
      <w:rPr>
        <w:lang w:val="en-US"/>
      </w:rPr>
    </w:pPr>
    <w:r>
      <w:rPr>
        <w:lang w:val="en-US"/>
      </w:rPr>
    </w:r>
    <w:r>
      <w:rPr>
        <w:lang w:val="en-US"/>
      </w:rPr>
    </w:r>
    <w:r>
      <w:rPr>
        <w:lang w:val="en-US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pStyle w:val="990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"/>
      <w:lvlJc w:val="left"/>
      <w:pPr>
        <w:ind w:left="2007" w:hanging="360"/>
      </w:pPr>
      <w:rPr>
        <w:rFonts w:hint="default" w:ascii="Wingdings" w:hAnsi="Wingdings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pStyle w:val="964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1789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pStyle w:val="978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Arial" w:hAnsi="Arial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Arial" w:hAnsi="Arial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Arial" w:hAnsi="Arial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Arial" w:hAnsi="Arial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Arial" w:hAnsi="Arial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Arial" w:hAnsi="Arial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Arial" w:hAnsi="Arial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Arial" w:hAnsi="Arial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isLgl w:val="false"/>
      <w:suff w:val="tab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pStyle w:val="946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</w:pPr>
      <w:rPr>
        <w:rFonts w:ascii="Times New Roman" w:hAnsi="Times New Roman" w:eastAsia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isLgl w:val="false"/>
      <w:suff w:val="tab"/>
      <w:lvlText w:val="●"/>
      <w:lvlJc w:val="left"/>
      <w:pPr>
        <w:ind w:left="180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isLgl w:val="false"/>
      <w:suff w:val="tab"/>
      <w:lvlText w:val="%1.%2.●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●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●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●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●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●.%4.%5.%6.%7.%8.%9."/>
      <w:lvlJc w:val="left"/>
      <w:pPr>
        <w:ind w:left="504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8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5">
    <w:name w:val="Heading 1 Char"/>
    <w:basedOn w:val="921"/>
    <w:link w:val="912"/>
    <w:uiPriority w:val="9"/>
    <w:rPr>
      <w:rFonts w:ascii="Arial" w:hAnsi="Arial" w:eastAsia="Arial" w:cs="Arial"/>
      <w:sz w:val="40"/>
      <w:szCs w:val="40"/>
    </w:rPr>
  </w:style>
  <w:style w:type="character" w:styleId="756">
    <w:name w:val="Heading 2 Char"/>
    <w:basedOn w:val="921"/>
    <w:link w:val="913"/>
    <w:uiPriority w:val="9"/>
    <w:rPr>
      <w:rFonts w:ascii="Arial" w:hAnsi="Arial" w:eastAsia="Arial" w:cs="Arial"/>
      <w:sz w:val="34"/>
    </w:rPr>
  </w:style>
  <w:style w:type="character" w:styleId="757">
    <w:name w:val="Heading 3 Char"/>
    <w:basedOn w:val="921"/>
    <w:link w:val="914"/>
    <w:uiPriority w:val="9"/>
    <w:rPr>
      <w:rFonts w:ascii="Arial" w:hAnsi="Arial" w:eastAsia="Arial" w:cs="Arial"/>
      <w:sz w:val="30"/>
      <w:szCs w:val="30"/>
    </w:rPr>
  </w:style>
  <w:style w:type="character" w:styleId="758">
    <w:name w:val="Heading 4 Char"/>
    <w:basedOn w:val="921"/>
    <w:link w:val="915"/>
    <w:uiPriority w:val="9"/>
    <w:rPr>
      <w:rFonts w:ascii="Arial" w:hAnsi="Arial" w:eastAsia="Arial" w:cs="Arial"/>
      <w:b/>
      <w:bCs/>
      <w:sz w:val="26"/>
      <w:szCs w:val="26"/>
    </w:rPr>
  </w:style>
  <w:style w:type="character" w:styleId="759">
    <w:name w:val="Heading 5 Char"/>
    <w:basedOn w:val="921"/>
    <w:link w:val="916"/>
    <w:uiPriority w:val="9"/>
    <w:rPr>
      <w:rFonts w:ascii="Arial" w:hAnsi="Arial" w:eastAsia="Arial" w:cs="Arial"/>
      <w:b/>
      <w:bCs/>
      <w:sz w:val="24"/>
      <w:szCs w:val="24"/>
    </w:rPr>
  </w:style>
  <w:style w:type="character" w:styleId="760">
    <w:name w:val="Heading 6 Char"/>
    <w:basedOn w:val="921"/>
    <w:link w:val="917"/>
    <w:uiPriority w:val="9"/>
    <w:rPr>
      <w:rFonts w:ascii="Arial" w:hAnsi="Arial" w:eastAsia="Arial" w:cs="Arial"/>
      <w:b/>
      <w:bCs/>
      <w:sz w:val="22"/>
      <w:szCs w:val="22"/>
    </w:rPr>
  </w:style>
  <w:style w:type="character" w:styleId="761">
    <w:name w:val="Heading 7 Char"/>
    <w:basedOn w:val="921"/>
    <w:link w:val="9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2">
    <w:name w:val="Heading 8 Char"/>
    <w:basedOn w:val="921"/>
    <w:link w:val="919"/>
    <w:uiPriority w:val="9"/>
    <w:rPr>
      <w:rFonts w:ascii="Arial" w:hAnsi="Arial" w:eastAsia="Arial" w:cs="Arial"/>
      <w:i/>
      <w:iCs/>
      <w:sz w:val="22"/>
      <w:szCs w:val="22"/>
    </w:rPr>
  </w:style>
  <w:style w:type="character" w:styleId="763">
    <w:name w:val="Heading 9 Char"/>
    <w:basedOn w:val="921"/>
    <w:link w:val="920"/>
    <w:uiPriority w:val="9"/>
    <w:rPr>
      <w:rFonts w:ascii="Arial" w:hAnsi="Arial" w:eastAsia="Arial" w:cs="Arial"/>
      <w:i/>
      <w:iCs/>
      <w:sz w:val="21"/>
      <w:szCs w:val="21"/>
    </w:rPr>
  </w:style>
  <w:style w:type="paragraph" w:styleId="764">
    <w:name w:val="Title"/>
    <w:basedOn w:val="911"/>
    <w:next w:val="911"/>
    <w:link w:val="7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5">
    <w:name w:val="Title Char"/>
    <w:basedOn w:val="921"/>
    <w:link w:val="764"/>
    <w:uiPriority w:val="10"/>
    <w:rPr>
      <w:sz w:val="48"/>
      <w:szCs w:val="48"/>
    </w:rPr>
  </w:style>
  <w:style w:type="paragraph" w:styleId="766">
    <w:name w:val="Subtitle"/>
    <w:basedOn w:val="911"/>
    <w:next w:val="911"/>
    <w:link w:val="767"/>
    <w:uiPriority w:val="11"/>
    <w:qFormat/>
    <w:pPr>
      <w:spacing w:before="200" w:after="200"/>
    </w:pPr>
    <w:rPr>
      <w:sz w:val="24"/>
      <w:szCs w:val="24"/>
    </w:rPr>
  </w:style>
  <w:style w:type="character" w:styleId="767">
    <w:name w:val="Subtitle Char"/>
    <w:basedOn w:val="921"/>
    <w:link w:val="766"/>
    <w:uiPriority w:val="11"/>
    <w:rPr>
      <w:sz w:val="24"/>
      <w:szCs w:val="24"/>
    </w:rPr>
  </w:style>
  <w:style w:type="paragraph" w:styleId="768">
    <w:name w:val="Quote"/>
    <w:basedOn w:val="911"/>
    <w:next w:val="911"/>
    <w:link w:val="769"/>
    <w:uiPriority w:val="29"/>
    <w:qFormat/>
    <w:pPr>
      <w:ind w:left="720" w:right="720"/>
    </w:pPr>
    <w:rPr>
      <w:i/>
    </w:rPr>
  </w:style>
  <w:style w:type="character" w:styleId="769">
    <w:name w:val="Quote Char"/>
    <w:link w:val="768"/>
    <w:uiPriority w:val="29"/>
    <w:rPr>
      <w:i/>
    </w:rPr>
  </w:style>
  <w:style w:type="paragraph" w:styleId="770">
    <w:name w:val="Intense Quote"/>
    <w:basedOn w:val="911"/>
    <w:next w:val="911"/>
    <w:link w:val="7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1">
    <w:name w:val="Intense Quote Char"/>
    <w:link w:val="770"/>
    <w:uiPriority w:val="30"/>
    <w:rPr>
      <w:i/>
    </w:rPr>
  </w:style>
  <w:style w:type="character" w:styleId="772">
    <w:name w:val="Header Char"/>
    <w:basedOn w:val="921"/>
    <w:link w:val="924"/>
    <w:uiPriority w:val="99"/>
  </w:style>
  <w:style w:type="character" w:styleId="773">
    <w:name w:val="Footer Char"/>
    <w:basedOn w:val="921"/>
    <w:link w:val="926"/>
    <w:uiPriority w:val="99"/>
  </w:style>
  <w:style w:type="character" w:styleId="774">
    <w:name w:val="Caption Char"/>
    <w:basedOn w:val="957"/>
    <w:link w:val="926"/>
    <w:uiPriority w:val="99"/>
  </w:style>
  <w:style w:type="table" w:styleId="775">
    <w:name w:val="Table Grid Light"/>
    <w:basedOn w:val="9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>
    <w:name w:val="Plain Table 1"/>
    <w:basedOn w:val="9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2"/>
    <w:basedOn w:val="9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>
    <w:name w:val="Plain Table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Plain Table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1">
    <w:name w:val="Grid Table 1 Light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4"/>
    <w:basedOn w:val="9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3">
    <w:name w:val="Grid Table 4 - Accent 1"/>
    <w:basedOn w:val="9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4">
    <w:name w:val="Grid Table 4 - Accent 2"/>
    <w:basedOn w:val="9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Grid Table 4 - Accent 3"/>
    <w:basedOn w:val="9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6">
    <w:name w:val="Grid Table 4 - Accent 4"/>
    <w:basedOn w:val="9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Grid Table 4 - Accent 5"/>
    <w:basedOn w:val="9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8">
    <w:name w:val="Grid Table 4 - Accent 6"/>
    <w:basedOn w:val="9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9">
    <w:name w:val="Grid Table 5 Dark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0">
    <w:name w:val="Grid Table 5 Dark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13">
    <w:name w:val="Grid Table 5 Dark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6">
    <w:name w:val="Grid Table 6 Colorful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7">
    <w:name w:val="Grid Table 6 Colorful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8">
    <w:name w:val="Grid Table 6 Colorful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9">
    <w:name w:val="Grid Table 6 Colorful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0">
    <w:name w:val="Grid Table 6 Colorful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1">
    <w:name w:val="Grid Table 6 Colorful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2">
    <w:name w:val="Grid Table 6 Colorful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3">
    <w:name w:val="Grid Table 7 Colorful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8">
    <w:name w:val="List Table 2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9">
    <w:name w:val="List Table 2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0">
    <w:name w:val="List Table 2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1">
    <w:name w:val="List Table 2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2">
    <w:name w:val="List Table 2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3">
    <w:name w:val="List Table 2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4">
    <w:name w:val="List Table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5 Dark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6 Colorful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6">
    <w:name w:val="List Table 6 Colorful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7">
    <w:name w:val="List Table 6 Colorful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8">
    <w:name w:val="List Table 6 Colorful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9">
    <w:name w:val="List Table 6 Colorful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0">
    <w:name w:val="List Table 6 Colorful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1">
    <w:name w:val="List Table 6 Colorful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2">
    <w:name w:val="List Table 7 Colorful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3">
    <w:name w:val="List Table 7 Colorful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74">
    <w:name w:val="List Table 7 Colorful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75">
    <w:name w:val="List Table 7 Colorful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6">
    <w:name w:val="List Table 7 Colorful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7">
    <w:name w:val="List Table 7 Colorful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78">
    <w:name w:val="List Table 7 Colorful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9">
    <w:name w:val="Lined - Accent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0">
    <w:name w:val="Lined - Accent 1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1">
    <w:name w:val="Lined - Accent 2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2">
    <w:name w:val="Lined - Accent 3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3">
    <w:name w:val="Lined - Accent 4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4">
    <w:name w:val="Lined - Accent 5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85">
    <w:name w:val="Lined - Accent 6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6">
    <w:name w:val="Bordered &amp; Lined - Accent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7">
    <w:name w:val="Bordered &amp; Lined - Accent 1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88">
    <w:name w:val="Bordered &amp; Lined - Accent 2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9">
    <w:name w:val="Bordered &amp; Lined - Accent 3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90">
    <w:name w:val="Bordered &amp; Lined - Accent 4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1">
    <w:name w:val="Bordered &amp; Lined - Accent 5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92">
    <w:name w:val="Bordered &amp; Lined - Accent 6"/>
    <w:basedOn w:val="9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3">
    <w:name w:val="Bordered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4">
    <w:name w:val="Bordered - Accent 1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5">
    <w:name w:val="Bordered - Accent 2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6">
    <w:name w:val="Bordered - Accent 3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7">
    <w:name w:val="Bordered - Accent 4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8">
    <w:name w:val="Bordered - Accent 5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9">
    <w:name w:val="Bordered - Accent 6"/>
    <w:basedOn w:val="9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0">
    <w:name w:val="Footnote Text Char"/>
    <w:link w:val="960"/>
    <w:uiPriority w:val="99"/>
    <w:rPr>
      <w:sz w:val="18"/>
    </w:rPr>
  </w:style>
  <w:style w:type="paragraph" w:styleId="901">
    <w:name w:val="endnote text"/>
    <w:basedOn w:val="911"/>
    <w:link w:val="902"/>
    <w:uiPriority w:val="99"/>
    <w:semiHidden/>
    <w:unhideWhenUsed/>
    <w:pPr>
      <w:spacing w:after="0" w:line="240" w:lineRule="auto"/>
    </w:pPr>
    <w:rPr>
      <w:sz w:val="20"/>
    </w:rPr>
  </w:style>
  <w:style w:type="character" w:styleId="902">
    <w:name w:val="Endnote Text Char"/>
    <w:link w:val="901"/>
    <w:uiPriority w:val="99"/>
    <w:rPr>
      <w:sz w:val="20"/>
    </w:rPr>
  </w:style>
  <w:style w:type="character" w:styleId="903">
    <w:name w:val="endnote reference"/>
    <w:basedOn w:val="921"/>
    <w:uiPriority w:val="99"/>
    <w:semiHidden/>
    <w:unhideWhenUsed/>
    <w:rPr>
      <w:vertAlign w:val="superscript"/>
    </w:rPr>
  </w:style>
  <w:style w:type="paragraph" w:styleId="904">
    <w:name w:val="toc 4"/>
    <w:basedOn w:val="911"/>
    <w:next w:val="911"/>
    <w:uiPriority w:val="39"/>
    <w:unhideWhenUsed/>
    <w:pPr>
      <w:ind w:left="850" w:right="0" w:firstLine="0"/>
      <w:spacing w:after="57"/>
    </w:pPr>
  </w:style>
  <w:style w:type="paragraph" w:styleId="905">
    <w:name w:val="toc 5"/>
    <w:basedOn w:val="911"/>
    <w:next w:val="911"/>
    <w:uiPriority w:val="39"/>
    <w:unhideWhenUsed/>
    <w:pPr>
      <w:ind w:left="1134" w:right="0" w:firstLine="0"/>
      <w:spacing w:after="57"/>
    </w:pPr>
  </w:style>
  <w:style w:type="paragraph" w:styleId="906">
    <w:name w:val="toc 6"/>
    <w:basedOn w:val="911"/>
    <w:next w:val="911"/>
    <w:uiPriority w:val="39"/>
    <w:unhideWhenUsed/>
    <w:pPr>
      <w:ind w:left="1417" w:right="0" w:firstLine="0"/>
      <w:spacing w:after="57"/>
    </w:pPr>
  </w:style>
  <w:style w:type="paragraph" w:styleId="907">
    <w:name w:val="toc 7"/>
    <w:basedOn w:val="911"/>
    <w:next w:val="911"/>
    <w:uiPriority w:val="39"/>
    <w:unhideWhenUsed/>
    <w:pPr>
      <w:ind w:left="1701" w:right="0" w:firstLine="0"/>
      <w:spacing w:after="57"/>
    </w:pPr>
  </w:style>
  <w:style w:type="paragraph" w:styleId="908">
    <w:name w:val="toc 8"/>
    <w:basedOn w:val="911"/>
    <w:next w:val="911"/>
    <w:uiPriority w:val="39"/>
    <w:unhideWhenUsed/>
    <w:pPr>
      <w:ind w:left="1984" w:right="0" w:firstLine="0"/>
      <w:spacing w:after="57"/>
    </w:pPr>
  </w:style>
  <w:style w:type="paragraph" w:styleId="909">
    <w:name w:val="toc 9"/>
    <w:basedOn w:val="911"/>
    <w:next w:val="911"/>
    <w:uiPriority w:val="39"/>
    <w:unhideWhenUsed/>
    <w:pPr>
      <w:ind w:left="2268" w:right="0" w:firstLine="0"/>
      <w:spacing w:after="57"/>
    </w:pPr>
  </w:style>
  <w:style w:type="paragraph" w:styleId="910">
    <w:name w:val="table of figures"/>
    <w:basedOn w:val="911"/>
    <w:next w:val="911"/>
    <w:uiPriority w:val="99"/>
    <w:unhideWhenUsed/>
    <w:pPr>
      <w:spacing w:after="0" w:afterAutospacing="0"/>
    </w:pPr>
  </w:style>
  <w:style w:type="paragraph" w:styleId="911" w:default="1">
    <w:name w:val="Normal"/>
    <w:qFormat/>
  </w:style>
  <w:style w:type="paragraph" w:styleId="912">
    <w:name w:val="Heading 1"/>
    <w:basedOn w:val="911"/>
    <w:next w:val="911"/>
    <w:link w:val="933"/>
    <w:qFormat/>
    <w:pPr>
      <w:keepNext/>
      <w:spacing w:before="240" w:after="120" w:line="360" w:lineRule="auto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913">
    <w:name w:val="Heading 2"/>
    <w:basedOn w:val="911"/>
    <w:next w:val="911"/>
    <w:link w:val="934"/>
    <w:qFormat/>
    <w:pPr>
      <w:keepNext/>
      <w:spacing w:before="240" w:after="120" w:line="360" w:lineRule="auto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914">
    <w:name w:val="Heading 3"/>
    <w:basedOn w:val="911"/>
    <w:next w:val="911"/>
    <w:link w:val="935"/>
    <w:qFormat/>
    <w:pPr>
      <w:keepNext/>
      <w:spacing w:before="120" w:after="0" w:line="360" w:lineRule="auto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915">
    <w:name w:val="Heading 4"/>
    <w:basedOn w:val="911"/>
    <w:next w:val="911"/>
    <w:link w:val="936"/>
    <w:qFormat/>
    <w:pPr>
      <w:keepNext/>
      <w:spacing w:after="0" w:line="360" w:lineRule="auto"/>
      <w:widowControl w:val="off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916">
    <w:name w:val="Heading 5"/>
    <w:basedOn w:val="911"/>
    <w:next w:val="911"/>
    <w:link w:val="937"/>
    <w:qFormat/>
    <w:pPr>
      <w:jc w:val="both"/>
      <w:keepNext/>
      <w:spacing w:after="0" w:line="360" w:lineRule="auto"/>
      <w:widowControl w:val="off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917">
    <w:name w:val="Heading 6"/>
    <w:basedOn w:val="911"/>
    <w:next w:val="911"/>
    <w:link w:val="938"/>
    <w:qFormat/>
    <w:pPr>
      <w:keepNext/>
      <w:spacing w:after="58" w:line="360" w:lineRule="auto"/>
      <w:widowControl w:val="off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918">
    <w:name w:val="Heading 7"/>
    <w:basedOn w:val="911"/>
    <w:next w:val="911"/>
    <w:link w:val="939"/>
    <w:qFormat/>
    <w:pPr>
      <w:jc w:val="both"/>
      <w:keepNext/>
      <w:spacing w:after="0" w:line="360" w:lineRule="auto"/>
      <w:widowControl w:val="off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919">
    <w:name w:val="Heading 8"/>
    <w:basedOn w:val="911"/>
    <w:next w:val="911"/>
    <w:link w:val="940"/>
    <w:qFormat/>
    <w:pPr>
      <w:jc w:val="both"/>
      <w:keepNext/>
      <w:spacing w:after="0" w:line="360" w:lineRule="auto"/>
      <w:widowControl w:val="off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920">
    <w:name w:val="Heading 9"/>
    <w:basedOn w:val="911"/>
    <w:next w:val="911"/>
    <w:link w:val="941"/>
    <w:qFormat/>
    <w:pPr>
      <w:ind w:left="360" w:firstLine="360"/>
      <w:jc w:val="both"/>
      <w:keepNext/>
      <w:spacing w:after="0" w:line="360" w:lineRule="auto"/>
      <w:widowControl w:val="off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921" w:default="1">
    <w:name w:val="Default Paragraph Font"/>
    <w:uiPriority w:val="1"/>
    <w:semiHidden/>
    <w:unhideWhenUsed/>
  </w:style>
  <w:style w:type="table" w:styleId="9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3" w:default="1">
    <w:name w:val="No List"/>
    <w:uiPriority w:val="99"/>
    <w:semiHidden/>
    <w:unhideWhenUsed/>
  </w:style>
  <w:style w:type="paragraph" w:styleId="924">
    <w:name w:val="Header"/>
    <w:basedOn w:val="911"/>
    <w:link w:val="92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5" w:customStyle="1">
    <w:name w:val="Верхний колонтитул Знак"/>
    <w:basedOn w:val="921"/>
    <w:link w:val="924"/>
    <w:uiPriority w:val="99"/>
  </w:style>
  <w:style w:type="paragraph" w:styleId="926">
    <w:name w:val="Footer"/>
    <w:basedOn w:val="911"/>
    <w:link w:val="92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7" w:customStyle="1">
    <w:name w:val="Нижний колонтитул Знак"/>
    <w:basedOn w:val="921"/>
    <w:link w:val="926"/>
    <w:uiPriority w:val="99"/>
  </w:style>
  <w:style w:type="paragraph" w:styleId="928">
    <w:name w:val="No Spacing"/>
    <w:link w:val="929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styleId="929" w:customStyle="1">
    <w:name w:val="Без интервала Знак"/>
    <w:basedOn w:val="921"/>
    <w:link w:val="928"/>
    <w:uiPriority w:val="1"/>
    <w:rPr>
      <w:rFonts w:eastAsiaTheme="minorEastAsia"/>
      <w:lang w:eastAsia="ru-RU"/>
    </w:rPr>
  </w:style>
  <w:style w:type="character" w:styleId="930">
    <w:name w:val="Placeholder Text"/>
    <w:basedOn w:val="921"/>
    <w:uiPriority w:val="99"/>
    <w:semiHidden/>
    <w:rPr>
      <w:color w:val="808080"/>
    </w:rPr>
  </w:style>
  <w:style w:type="paragraph" w:styleId="931">
    <w:name w:val="Balloon Text"/>
    <w:basedOn w:val="911"/>
    <w:link w:val="932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32" w:customStyle="1">
    <w:name w:val="Текст выноски Знак"/>
    <w:basedOn w:val="921"/>
    <w:link w:val="931"/>
    <w:rPr>
      <w:rFonts w:ascii="Tahoma" w:hAnsi="Tahoma" w:cs="Tahoma"/>
      <w:sz w:val="16"/>
      <w:szCs w:val="16"/>
    </w:rPr>
  </w:style>
  <w:style w:type="character" w:styleId="933" w:customStyle="1">
    <w:name w:val="Заголовок 1 Знак"/>
    <w:basedOn w:val="921"/>
    <w:link w:val="912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934" w:customStyle="1">
    <w:name w:val="Заголовок 2 Знак"/>
    <w:basedOn w:val="921"/>
    <w:link w:val="913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935" w:customStyle="1">
    <w:name w:val="Заголовок 3 Знак"/>
    <w:basedOn w:val="921"/>
    <w:link w:val="914"/>
    <w:rPr>
      <w:rFonts w:ascii="Arial" w:hAnsi="Arial" w:eastAsia="Times New Roman" w:cs="Arial"/>
      <w:b/>
      <w:bCs/>
      <w:szCs w:val="26"/>
      <w:lang w:val="en-GB"/>
    </w:rPr>
  </w:style>
  <w:style w:type="character" w:styleId="936" w:customStyle="1">
    <w:name w:val="Заголовок 4 Знак"/>
    <w:basedOn w:val="921"/>
    <w:link w:val="915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937" w:customStyle="1">
    <w:name w:val="Заголовок 5 Знак"/>
    <w:basedOn w:val="921"/>
    <w:link w:val="916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938" w:customStyle="1">
    <w:name w:val="Заголовок 6 Знак"/>
    <w:basedOn w:val="921"/>
    <w:link w:val="917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939" w:customStyle="1">
    <w:name w:val="Заголовок 7 Знак"/>
    <w:basedOn w:val="921"/>
    <w:link w:val="918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940" w:customStyle="1">
    <w:name w:val="Заголовок 8 Знак"/>
    <w:basedOn w:val="921"/>
    <w:link w:val="919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941" w:customStyle="1">
    <w:name w:val="Заголовок 9 Знак"/>
    <w:basedOn w:val="921"/>
    <w:link w:val="920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942">
    <w:name w:val="Hyperlink"/>
    <w:uiPriority w:val="99"/>
    <w:rPr>
      <w:color w:val="0000ff"/>
      <w:u w:val="single"/>
    </w:rPr>
  </w:style>
  <w:style w:type="table" w:styleId="943">
    <w:name w:val="Table Grid"/>
    <w:basedOn w:val="92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44">
    <w:name w:val="toc 1"/>
    <w:basedOn w:val="911"/>
    <w:next w:val="911"/>
    <w:uiPriority w:val="39"/>
    <w:qFormat/>
    <w:pPr>
      <w:spacing w:after="0" w:line="360" w:lineRule="auto"/>
      <w:tabs>
        <w:tab w:val="right" w:pos="9825" w:leader="dot"/>
      </w:tabs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945" w:customStyle="1">
    <w:name w:val="numbered list"/>
    <w:basedOn w:val="946"/>
  </w:style>
  <w:style w:type="paragraph" w:styleId="946" w:customStyle="1">
    <w:name w:val="bullet"/>
    <w:basedOn w:val="911"/>
    <w:pPr>
      <w:numPr>
        <w:ilvl w:val="0"/>
        <w:numId w:val="1"/>
      </w:numPr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947">
    <w:name w:val="page number"/>
    <w:rPr>
      <w:rFonts w:ascii="Arial" w:hAnsi="Arial"/>
      <w:sz w:val="16"/>
    </w:rPr>
  </w:style>
  <w:style w:type="paragraph" w:styleId="948" w:customStyle="1">
    <w:name w:val="Doc subtitle1"/>
    <w:basedOn w:val="911"/>
    <w:link w:val="959"/>
    <w:pPr>
      <w:spacing w:after="0" w:line="360" w:lineRule="auto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949" w:customStyle="1">
    <w:name w:val="Doc subtitle2"/>
    <w:basedOn w:val="911"/>
    <w:pPr>
      <w:spacing w:after="0" w:line="360" w:lineRule="auto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950" w:customStyle="1">
    <w:name w:val="Doc title"/>
    <w:basedOn w:val="911"/>
    <w:pPr>
      <w:spacing w:after="0" w:line="360" w:lineRule="auto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951">
    <w:name w:val="Body Text"/>
    <w:basedOn w:val="911"/>
    <w:link w:val="952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z w:val="24"/>
      <w:szCs w:val="20"/>
      <w:lang w:val="en-AU"/>
    </w:rPr>
  </w:style>
  <w:style w:type="character" w:styleId="952" w:customStyle="1">
    <w:name w:val="Основной текст Знак"/>
    <w:basedOn w:val="921"/>
    <w:link w:val="951"/>
    <w:semiHidden/>
    <w:rPr>
      <w:rFonts w:ascii="Arial" w:hAnsi="Arial" w:eastAsia="Times New Roman" w:cs="Times New Roman"/>
      <w:sz w:val="24"/>
      <w:szCs w:val="20"/>
      <w:lang w:val="en-AU"/>
    </w:rPr>
  </w:style>
  <w:style w:type="paragraph" w:styleId="953">
    <w:name w:val="Body Text Indent 2"/>
    <w:basedOn w:val="911"/>
    <w:link w:val="954"/>
    <w:semiHidden/>
    <w:pPr>
      <w:ind w:left="720"/>
      <w:spacing w:after="0" w:line="360" w:lineRule="auto"/>
    </w:pPr>
    <w:rPr>
      <w:rFonts w:ascii="Arial" w:hAnsi="Arial" w:eastAsia="Times New Roman" w:cs="Times New Roman"/>
      <w:sz w:val="24"/>
      <w:szCs w:val="20"/>
      <w:lang w:val="en-US"/>
    </w:rPr>
  </w:style>
  <w:style w:type="character" w:styleId="954" w:customStyle="1">
    <w:name w:val="Основной текст с отступом 2 Знак"/>
    <w:basedOn w:val="921"/>
    <w:link w:val="953"/>
    <w:semiHidden/>
    <w:rPr>
      <w:rFonts w:ascii="Arial" w:hAnsi="Arial" w:eastAsia="Times New Roman" w:cs="Times New Roman"/>
      <w:sz w:val="24"/>
      <w:szCs w:val="20"/>
      <w:lang w:val="en-US"/>
    </w:rPr>
  </w:style>
  <w:style w:type="paragraph" w:styleId="955">
    <w:name w:val="Body Text 2"/>
    <w:basedOn w:val="911"/>
    <w:link w:val="956"/>
    <w:semiHidden/>
    <w:pPr>
      <w:jc w:val="both"/>
      <w:spacing w:after="0" w:line="360" w:lineRule="auto"/>
      <w:widowControl w:val="off"/>
    </w:pPr>
    <w:rPr>
      <w:rFonts w:ascii="Arial" w:hAnsi="Arial" w:eastAsia="Times New Roman" w:cs="Times New Roman"/>
      <w:spacing w:val="-3"/>
      <w:szCs w:val="20"/>
      <w:lang w:val="en-US"/>
    </w:rPr>
  </w:style>
  <w:style w:type="character" w:styleId="956" w:customStyle="1">
    <w:name w:val="Основной текст 2 Знак"/>
    <w:basedOn w:val="921"/>
    <w:link w:val="955"/>
    <w:semiHidden/>
    <w:rPr>
      <w:rFonts w:ascii="Arial" w:hAnsi="Arial" w:eastAsia="Times New Roman" w:cs="Times New Roman"/>
      <w:spacing w:val="-3"/>
      <w:szCs w:val="20"/>
      <w:lang w:val="en-US"/>
    </w:rPr>
  </w:style>
  <w:style w:type="paragraph" w:styleId="957">
    <w:name w:val="Caption"/>
    <w:basedOn w:val="911"/>
    <w:next w:val="911"/>
    <w:qFormat/>
    <w:pPr>
      <w:jc w:val="center"/>
      <w:spacing w:before="240" w:after="0" w:line="360" w:lineRule="auto"/>
      <w:widowControl w:val="off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958" w:customStyle="1">
    <w:name w:val="Абзац списка1"/>
    <w:basedOn w:val="911"/>
    <w:pPr>
      <w:ind w:left="720"/>
      <w:spacing w:after="0" w:line="360" w:lineRule="auto"/>
    </w:pPr>
    <w:rPr>
      <w:rFonts w:ascii="Arial" w:hAnsi="Arial" w:eastAsia="Times New Roman" w:cs="Times New Roman"/>
      <w:szCs w:val="24"/>
      <w:lang w:val="en-GB"/>
    </w:rPr>
  </w:style>
  <w:style w:type="character" w:styleId="959" w:customStyle="1">
    <w:name w:val="Doc subtitle1 Char"/>
    <w:link w:val="948"/>
    <w:rPr>
      <w:rFonts w:ascii="Arial" w:hAnsi="Arial" w:eastAsia="Times New Roman" w:cs="Times New Roman"/>
      <w:b/>
      <w:sz w:val="28"/>
      <w:szCs w:val="24"/>
      <w:lang w:val="en-GB"/>
    </w:rPr>
  </w:style>
  <w:style w:type="paragraph" w:styleId="960">
    <w:name w:val="footnote text"/>
    <w:basedOn w:val="911"/>
    <w:link w:val="961"/>
    <w:pPr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961" w:customStyle="1">
    <w:name w:val="Текст сноски Знак"/>
    <w:basedOn w:val="921"/>
    <w:link w:val="960"/>
    <w:rPr>
      <w:rFonts w:ascii="Times New Roman" w:hAnsi="Times New Roman" w:eastAsia="Times New Roman" w:cs="Times New Roman"/>
      <w:szCs w:val="20"/>
      <w:lang w:eastAsia="ru-RU"/>
    </w:rPr>
  </w:style>
  <w:style w:type="character" w:styleId="962">
    <w:name w:val="footnote reference"/>
    <w:rPr>
      <w:vertAlign w:val="superscript"/>
    </w:rPr>
  </w:style>
  <w:style w:type="character" w:styleId="963">
    <w:name w:val="FollowedHyperlink"/>
    <w:rPr>
      <w:color w:val="800080"/>
      <w:u w:val="single"/>
    </w:rPr>
  </w:style>
  <w:style w:type="paragraph" w:styleId="964" w:customStyle="1">
    <w:name w:val="цветной текст"/>
    <w:basedOn w:val="911"/>
    <w:qFormat/>
    <w:pPr>
      <w:numPr>
        <w:ilvl w:val="0"/>
        <w:numId w:val="3"/>
      </w:numPr>
      <w:jc w:val="both"/>
      <w:spacing w:after="0" w:line="360" w:lineRule="auto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styleId="965" w:customStyle="1">
    <w:name w:val="538552DCBB0F4C4BB087ED922D6A6322"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966" w:customStyle="1">
    <w:name w:val="выделение цвет"/>
    <w:basedOn w:val="911"/>
    <w:link w:val="979"/>
    <w:pPr>
      <w:jc w:val="both"/>
      <w:spacing w:after="0" w:line="360" w:lineRule="auto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967" w:customStyle="1">
    <w:name w:val="цвет в таблице"/>
    <w:rPr>
      <w:color w:val="2c8de6"/>
    </w:rPr>
  </w:style>
  <w:style w:type="paragraph" w:styleId="968">
    <w:name w:val="TOC Heading"/>
    <w:basedOn w:val="912"/>
    <w:next w:val="91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969">
    <w:name w:val="toc 2"/>
    <w:basedOn w:val="911"/>
    <w:next w:val="911"/>
    <w:uiPriority w:val="39"/>
    <w:qFormat/>
    <w:pPr>
      <w:spacing w:after="0" w:line="240" w:lineRule="auto"/>
      <w:tabs>
        <w:tab w:val="left" w:pos="142" w:leader="none"/>
        <w:tab w:val="right" w:pos="9639" w:leader="dot"/>
      </w:tabs>
    </w:pPr>
    <w:rPr>
      <w:rFonts w:ascii="Times New Roman" w:hAnsi="Times New Roman" w:eastAsia="Times New Roman" w:cs="Times New Roman"/>
      <w:szCs w:val="20"/>
      <w:lang w:eastAsia="ru-RU"/>
    </w:rPr>
  </w:style>
  <w:style w:type="paragraph" w:styleId="970">
    <w:name w:val="toc 3"/>
    <w:basedOn w:val="911"/>
    <w:next w:val="911"/>
    <w:uiPriority w:val="39"/>
    <w:unhideWhenUsed/>
    <w:qFormat/>
    <w:pPr>
      <w:ind w:left="440"/>
      <w:spacing w:after="100" w:line="276" w:lineRule="auto"/>
    </w:pPr>
    <w:rPr>
      <w:rFonts w:ascii="Calibri" w:hAnsi="Calibri" w:eastAsia="Times New Roman" w:cs="Times New Roman"/>
      <w:lang w:eastAsia="ru-RU"/>
    </w:rPr>
  </w:style>
  <w:style w:type="paragraph" w:styleId="971" w:customStyle="1">
    <w:name w:val="!Заголовок-1"/>
    <w:basedOn w:val="912"/>
    <w:link w:val="973"/>
    <w:qFormat/>
    <w:rPr>
      <w:lang w:val="ru-RU"/>
    </w:rPr>
  </w:style>
  <w:style w:type="paragraph" w:styleId="972" w:customStyle="1">
    <w:name w:val="!заголовок-2"/>
    <w:basedOn w:val="913"/>
    <w:link w:val="975"/>
    <w:qFormat/>
    <w:rPr>
      <w:lang w:val="ru-RU"/>
    </w:rPr>
  </w:style>
  <w:style w:type="character" w:styleId="973" w:customStyle="1">
    <w:name w:val="!Заголовок-1 Знак"/>
    <w:link w:val="971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paragraph" w:styleId="974" w:customStyle="1">
    <w:name w:val="!Текст"/>
    <w:basedOn w:val="911"/>
    <w:link w:val="977"/>
    <w:qFormat/>
    <w:p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975" w:customStyle="1">
    <w:name w:val="!заголовок-2 Знак"/>
    <w:link w:val="972"/>
    <w:rPr>
      <w:rFonts w:ascii="Arial" w:hAnsi="Arial" w:eastAsia="Times New Roman" w:cs="Times New Roman"/>
      <w:b/>
      <w:sz w:val="28"/>
      <w:szCs w:val="24"/>
    </w:rPr>
  </w:style>
  <w:style w:type="paragraph" w:styleId="976" w:customStyle="1">
    <w:name w:val="!Синий заголовок текста"/>
    <w:basedOn w:val="966"/>
    <w:link w:val="980"/>
    <w:qFormat/>
  </w:style>
  <w:style w:type="character" w:styleId="977" w:customStyle="1">
    <w:name w:val="!Текст Знак"/>
    <w:link w:val="974"/>
    <w:rPr>
      <w:rFonts w:ascii="Times New Roman" w:hAnsi="Times New Roman" w:eastAsia="Times New Roman" w:cs="Times New Roman"/>
      <w:szCs w:val="20"/>
      <w:lang w:eastAsia="ru-RU"/>
    </w:rPr>
  </w:style>
  <w:style w:type="paragraph" w:styleId="978" w:customStyle="1">
    <w:name w:val="!Список с точками"/>
    <w:basedOn w:val="911"/>
    <w:link w:val="982"/>
    <w:qFormat/>
    <w:pPr>
      <w:numPr>
        <w:ilvl w:val="0"/>
        <w:numId w:val="2"/>
      </w:numPr>
      <w:jc w:val="both"/>
      <w:spacing w:after="0" w:line="360" w:lineRule="auto"/>
    </w:pPr>
    <w:rPr>
      <w:rFonts w:ascii="Times New Roman" w:hAnsi="Times New Roman" w:eastAsia="Times New Roman" w:cs="Times New Roman"/>
      <w:szCs w:val="20"/>
      <w:lang w:eastAsia="ru-RU"/>
    </w:rPr>
  </w:style>
  <w:style w:type="character" w:styleId="979" w:customStyle="1">
    <w:name w:val="выделение цвет Знак"/>
    <w:link w:val="966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980" w:customStyle="1">
    <w:name w:val="!Синий заголовок текста Знак"/>
    <w:link w:val="976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981">
    <w:name w:val="List Paragraph"/>
    <w:basedOn w:val="911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</w:rPr>
  </w:style>
  <w:style w:type="character" w:styleId="982" w:customStyle="1">
    <w:name w:val="!Список с точками Знак"/>
    <w:link w:val="978"/>
    <w:rPr>
      <w:rFonts w:ascii="Times New Roman" w:hAnsi="Times New Roman" w:eastAsia="Times New Roman" w:cs="Times New Roman"/>
      <w:szCs w:val="20"/>
      <w:lang w:eastAsia="ru-RU"/>
    </w:rPr>
  </w:style>
  <w:style w:type="paragraph" w:styleId="983" w:customStyle="1">
    <w:name w:val="Базовый"/>
    <w:pPr>
      <w:spacing w:after="200" w:line="276" w:lineRule="auto"/>
    </w:pPr>
    <w:rPr>
      <w:rFonts w:ascii="Times New Roman" w:hAnsi="Times New Roman" w:eastAsia="DejaVu Sans" w:cs="Times New Roman"/>
      <w:sz w:val="24"/>
      <w:szCs w:val="24"/>
    </w:rPr>
  </w:style>
  <w:style w:type="character" w:styleId="984" w:customStyle="1">
    <w:name w:val="Интернет-ссылка"/>
    <w:rPr>
      <w:color w:val="0000ff"/>
      <w:u w:val="single"/>
      <w:lang w:val="ru-RU" w:eastAsia="ru-RU" w:bidi="ru-RU"/>
    </w:rPr>
  </w:style>
  <w:style w:type="character" w:styleId="985">
    <w:name w:val="annotation reference"/>
    <w:basedOn w:val="921"/>
    <w:semiHidden/>
    <w:unhideWhenUsed/>
    <w:rPr>
      <w:sz w:val="16"/>
      <w:szCs w:val="16"/>
    </w:rPr>
  </w:style>
  <w:style w:type="paragraph" w:styleId="986">
    <w:name w:val="annotation text"/>
    <w:basedOn w:val="911"/>
    <w:link w:val="987"/>
    <w:semiHidden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87" w:customStyle="1">
    <w:name w:val="Текст примечания Знак"/>
    <w:basedOn w:val="921"/>
    <w:link w:val="986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88">
    <w:name w:val="annotation subject"/>
    <w:basedOn w:val="986"/>
    <w:next w:val="986"/>
    <w:link w:val="989"/>
    <w:semiHidden/>
    <w:unhideWhenUsed/>
    <w:rPr>
      <w:b/>
      <w:bCs/>
    </w:rPr>
  </w:style>
  <w:style w:type="character" w:styleId="989" w:customStyle="1">
    <w:name w:val="Тема примечания Знак"/>
    <w:basedOn w:val="987"/>
    <w:link w:val="988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990" w:customStyle="1">
    <w:name w:val="Lista Black"/>
    <w:basedOn w:val="951"/>
    <w:uiPriority w:val="1"/>
    <w:qFormat/>
    <w:pPr>
      <w:numPr>
        <w:ilvl w:val="0"/>
        <w:numId w:val="8"/>
      </w:numPr>
      <w:jc w:val="left"/>
      <w:keepNext/>
      <w:spacing w:after="120" w:line="240" w:lineRule="auto"/>
    </w:pPr>
    <w:rPr>
      <w:rFonts w:ascii="Calibri" w:hAnsi="Calibri" w:eastAsia="FrutigerLTStd-Light" w:cstheme="minorBidi"/>
      <w:sz w:val="20"/>
      <w:lang w:val="en-US"/>
    </w:rPr>
  </w:style>
  <w:style w:type="character" w:styleId="991" w:customStyle="1">
    <w:name w:val="Основной текст (14)_"/>
    <w:basedOn w:val="921"/>
    <w:link w:val="992"/>
    <w:rPr>
      <w:rFonts w:ascii="Segoe UI" w:hAnsi="Segoe UI" w:eastAsia="Segoe UI" w:cs="Segoe UI"/>
      <w:sz w:val="19"/>
      <w:szCs w:val="19"/>
      <w:shd w:val="clear" w:color="auto" w:fill="ffffff"/>
    </w:rPr>
  </w:style>
  <w:style w:type="paragraph" w:styleId="992" w:customStyle="1">
    <w:name w:val="Основной текст (14)_3"/>
    <w:basedOn w:val="911"/>
    <w:link w:val="991"/>
    <w:pPr>
      <w:ind w:hanging="600"/>
      <w:spacing w:after="0" w:line="264" w:lineRule="exact"/>
      <w:shd w:val="clear" w:color="auto" w:fill="ffffff"/>
      <w:widowControl w:val="off"/>
    </w:pPr>
    <w:rPr>
      <w:rFonts w:ascii="Segoe UI" w:hAnsi="Segoe UI" w:eastAsia="Segoe UI" w:cs="Segoe UI"/>
      <w:sz w:val="19"/>
      <w:szCs w:val="19"/>
    </w:rPr>
  </w:style>
  <w:style w:type="character" w:styleId="993" w:customStyle="1">
    <w:name w:val="Неразрешенное упоминание1"/>
    <w:basedOn w:val="921"/>
    <w:uiPriority w:val="99"/>
    <w:semiHidden/>
    <w:unhideWhenUsed/>
    <w:rPr>
      <w:color w:val="605e5c"/>
      <w:shd w:val="clear" w:color="auto" w:fill="e1dfdd"/>
    </w:rPr>
  </w:style>
  <w:style w:type="character" w:styleId="994" w:customStyle="1">
    <w:name w:val="Неразрешенное упоминание2"/>
    <w:basedOn w:val="92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303E-B370-4823-B442-E150A4F4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Aleksandr Tyanutov</cp:lastModifiedBy>
  <cp:revision>7</cp:revision>
  <dcterms:created xsi:type="dcterms:W3CDTF">2023-10-02T15:03:00Z</dcterms:created>
  <dcterms:modified xsi:type="dcterms:W3CDTF">2023-11-08T09:50:20Z</dcterms:modified>
</cp:coreProperties>
</file>