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AE0FF5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D3923" w:rsidRPr="00BD3923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Про</w:t>
          </w:r>
          <w:r w:rsidR="00BD3923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мышленная механика и монтаж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1B8CA16" w:rsidR="00D83E4E" w:rsidRPr="00D83E4E" w:rsidRDefault="00BD392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E06A8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</w:t>
          </w:r>
          <w:r w:rsidR="009E5BD9" w:rsidRPr="00FE06A8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</w:t>
          </w:r>
          <w:r w:rsidR="000A3A2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79636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87FB8F2" w:rsidR="009B18A2" w:rsidRDefault="00BD392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BD3923">
        <w:rPr>
          <w:rFonts w:ascii="Times New Roman" w:hAnsi="Times New Roman" w:cs="Times New Roman"/>
          <w:u w:val="single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70830D25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5913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347DF63" w14:textId="65586FB4" w:rsidR="00924B73" w:rsidRPr="00924B73" w:rsidRDefault="0029547E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3357264" w:history="1">
        <w:r w:rsidR="00924B73" w:rsidRPr="00924B73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_Toc153357264 \h </w:instrText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t>3</w:t>
        </w:r>
        <w:r w:rsidR="00924B73"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2751C371" w14:textId="2E1F5BC7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65" w:history="1">
        <w:r w:rsidRPr="00924B73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_Toc153357265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3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6C37DE0" w14:textId="444088E5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66" w:history="1">
        <w:r w:rsidRPr="00924B73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«ПРОМЫШЛЕННАЯ МЕХАНИКА И МОНТАЖ»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_Toc153357266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3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4C0BA38" w14:textId="1C4AA910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67" w:history="1">
        <w:r w:rsidRPr="00924B73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_Toc153357267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8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0B4A087" w14:textId="42223F84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68" w:history="1">
        <w:r w:rsidRPr="00924B73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_Toc153357268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8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C7F3EFF" w14:textId="4D2B142A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69" w:history="1">
        <w:r w:rsidRPr="00924B73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_Toc153357269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9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8A0A250" w14:textId="1DA74CC0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70" w:history="1">
        <w:r w:rsidRPr="00924B73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_Toc153357270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10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57FC3A1" w14:textId="261A5347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71" w:history="1">
        <w:r w:rsidRPr="00924B73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_Toc153357271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10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180FF42" w14:textId="651E76C8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72" w:history="1">
        <w:r w:rsidRPr="00924B73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_Toc153357272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13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CCD65EA" w14:textId="1C0722E5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73" w:history="1">
        <w:r w:rsidRPr="00924B73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_Toc153357273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13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ECB7ACE" w14:textId="412600AA" w:rsidR="00924B73" w:rsidRPr="00924B73" w:rsidRDefault="00924B73" w:rsidP="00924B7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3357274" w:history="1">
        <w:r w:rsidRPr="00924B73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_Toc153357274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14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F32FE8A" w14:textId="1E827719" w:rsidR="00924B73" w:rsidRDefault="00924B73" w:rsidP="00924B73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3357275" w:history="1">
        <w:r w:rsidRPr="00924B73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924B73">
          <w:rPr>
            <w:rStyle w:val="ae"/>
            <w:rFonts w:ascii="Times New Roman" w:hAnsi="Times New Roman"/>
            <w:webHidden/>
            <w:szCs w:val="24"/>
          </w:rPr>
          <w:tab/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924B73">
          <w:rPr>
            <w:rStyle w:val="ae"/>
            <w:rFonts w:ascii="Times New Roman" w:hAnsi="Times New Roman"/>
            <w:webHidden/>
            <w:szCs w:val="24"/>
          </w:rPr>
          <w:instrText xml:space="preserve"> PAGEREF _Toc153357275 \h </w:instrText>
        </w:r>
        <w:r w:rsidRPr="00924B73">
          <w:rPr>
            <w:rStyle w:val="ae"/>
            <w:rFonts w:ascii="Times New Roman" w:hAnsi="Times New Roman"/>
            <w:webHidden/>
            <w:szCs w:val="24"/>
          </w:rPr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924B73">
          <w:rPr>
            <w:rStyle w:val="ae"/>
            <w:rFonts w:ascii="Times New Roman" w:hAnsi="Times New Roman"/>
            <w:webHidden/>
            <w:szCs w:val="24"/>
          </w:rPr>
          <w:t>15</w:t>
        </w:r>
        <w:r w:rsidRPr="00924B7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1F8CAFFA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A4EBA57" w14:textId="77777777" w:rsidR="00FE06A8" w:rsidRPr="00573E3C" w:rsidRDefault="00FE06A8" w:rsidP="00FE06A8">
      <w:pPr>
        <w:pStyle w:val="bullet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573E3C">
        <w:rPr>
          <w:rFonts w:ascii="Times New Roman" w:hAnsi="Times New Roman"/>
          <w:bCs/>
          <w:sz w:val="24"/>
          <w:lang w:val="ru-RU" w:eastAsia="ru-RU"/>
        </w:rPr>
        <w:t>ФГОС – Федеральный государственный образовательный стандарт</w:t>
      </w:r>
    </w:p>
    <w:p w14:paraId="794F70F2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 – профессиональный стандарт</w:t>
      </w:r>
    </w:p>
    <w:p w14:paraId="77ACEFD8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– свод правил</w:t>
      </w:r>
    </w:p>
    <w:p w14:paraId="407A1C18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 – требования компетенции</w:t>
      </w:r>
    </w:p>
    <w:p w14:paraId="27948A7B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 - конкурсное задание</w:t>
      </w:r>
    </w:p>
    <w:p w14:paraId="08914849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 – инфраструктурный лист</w:t>
      </w:r>
    </w:p>
    <w:p w14:paraId="488EC374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 - критерии оценки</w:t>
      </w:r>
    </w:p>
    <w:p w14:paraId="27ED160E" w14:textId="77777777" w:rsidR="00FE06A8" w:rsidRPr="00573E3C" w:rsidRDefault="00FE06A8" w:rsidP="00FE06A8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 ТБ – охрана труда и техника безопасности</w:t>
      </w:r>
    </w:p>
    <w:p w14:paraId="18FD8A99" w14:textId="4D73D38D" w:rsidR="00C17B01" w:rsidRPr="00FB3492" w:rsidRDefault="00C17B01" w:rsidP="00FE06A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335726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335726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E9C38C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E06A8" w:rsidRPr="00573E3C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Промышленная механика и монтаж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46CC809" w:rsidR="000244DA" w:rsidRPr="00D83E4E" w:rsidRDefault="00270E01" w:rsidP="00924B73">
      <w:pPr>
        <w:pStyle w:val="-2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335726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E06A8" w:rsidRPr="00FE06A8">
        <w:rPr>
          <w:rFonts w:ascii="Times New Roman" w:eastAsia="Calibri" w:hAnsi="Times New Roman"/>
          <w:sz w:val="24"/>
          <w:lang w:eastAsia="ru-RU"/>
        </w:rPr>
        <w:t>ПРОМЫШЛЕННАЯ МЕХАНИКА И МОНТАЖ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7878"/>
        <w:gridCol w:w="1347"/>
      </w:tblGrid>
      <w:tr w:rsidR="00FE06A8" w:rsidRPr="00691C81" w14:paraId="67B284EA" w14:textId="77777777" w:rsidTr="000B64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1D955475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04D5CFDF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199441F1" w14:textId="77777777" w:rsidR="00FE06A8" w:rsidRPr="00691C81" w:rsidRDefault="00FE06A8" w:rsidP="000B64E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Важность в %</w:t>
            </w:r>
          </w:p>
        </w:tc>
      </w:tr>
      <w:tr w:rsidR="00FE06A8" w:rsidRPr="00691C81" w14:paraId="3172C1B2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46A1FCB5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78EE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Коммуникация, организация рабочего процесса и безопасность (знания, умения, трудовые функции)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1FBE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E06A8" w:rsidRPr="00691C81" w14:paraId="758B6E07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A54E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5A6E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D091789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охраны труда при работе на электрооборудовании;</w:t>
            </w:r>
          </w:p>
          <w:p w14:paraId="20D8B9FD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принципы безопасной работы на токарных, фрезерных, сверлильных и заточных станках;</w:t>
            </w:r>
          </w:p>
          <w:p w14:paraId="3563E2DF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принципы оказания первой медицинской помощи;</w:t>
            </w:r>
          </w:p>
          <w:p w14:paraId="5403552F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принципы безопасной работы с использованием измерительного, режущего инструмента;</w:t>
            </w:r>
          </w:p>
          <w:p w14:paraId="1EE7D38D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охраны труда при выполнении сварочных работ;</w:t>
            </w:r>
          </w:p>
          <w:p w14:paraId="3EAB9C25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охраны труда при работе со слесарным инструментом;</w:t>
            </w:r>
          </w:p>
          <w:p w14:paraId="5891FBB3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охраны труда при выполнении слесарных работ;</w:t>
            </w:r>
          </w:p>
          <w:p w14:paraId="7371EE12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правила грузоподъемных операций, знаковая сигнализация, процедуры подъема и строповки, расчет безопасной рабочей нагрузки для монтажа и демонтажа промышленного механического оборудования;</w:t>
            </w:r>
          </w:p>
          <w:p w14:paraId="74C725E4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ОТ при допуске к выполнению работ;</w:t>
            </w:r>
          </w:p>
          <w:p w14:paraId="170597B0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требования охраны труда при работе с гидравлическим и пневматическим оборудованием;</w:t>
            </w:r>
          </w:p>
          <w:p w14:paraId="4C98F827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принципы бережливого производства;</w:t>
            </w:r>
          </w:p>
          <w:p w14:paraId="2374D95F" w14:textId="77777777" w:rsidR="00FE06A8" w:rsidRPr="00691C81" w:rsidRDefault="00FE06A8" w:rsidP="000B64E6">
            <w:pPr>
              <w:spacing w:after="0" w:line="256" w:lineRule="auto"/>
              <w:ind w:left="63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тенденции и новые разработки в промышленности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C5E3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5325D03A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F736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7F0D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E16E48D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задавать вопросы для полного понимания требований по выполнении работ</w:t>
            </w:r>
          </w:p>
          <w:p w14:paraId="0F4AB776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осуществлять уход за промышленным оборудованием</w:t>
            </w:r>
          </w:p>
          <w:p w14:paraId="406CF33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организовывать рабочее место, с точки зрения эффективного и безопасного выполнения работ</w:t>
            </w:r>
          </w:p>
          <w:p w14:paraId="2EBBA4E1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оперативно принимать решения при возникновении проблем, используя логическое мышление</w:t>
            </w:r>
          </w:p>
          <w:p w14:paraId="6FB1170A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использовать принципы бережливого производства при подготовке, организации и выполнении работ</w:t>
            </w:r>
          </w:p>
          <w:p w14:paraId="77CDC986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анализировать работу для внесения непрерывных улучшений в организацию работы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134A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50D39AB4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6CB232CF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2511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Конструкторская, нормативная и сопроводительная документация (знания, умения, трудовые функции)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EA603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E06A8" w:rsidRPr="00691C81" w14:paraId="6B14EA7F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CE85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9AA11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Специалист должен знать и понимать:</w:t>
            </w:r>
          </w:p>
          <w:p w14:paraId="0B9E41A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различные стандарты условных обозначений на различных чертежах (включая сварочные, электрические, пневматические, гидравлические и др.)</w:t>
            </w:r>
          </w:p>
          <w:p w14:paraId="514906F8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многоугольные проекции и вспомогательные виды компонентов оборудования</w:t>
            </w:r>
          </w:p>
          <w:p w14:paraId="799D427D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сборочные и детальные чертежи различного оборудования</w:t>
            </w:r>
          </w:p>
          <w:p w14:paraId="210CB2EB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7F389E6F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заполнять необходимую документацию на рабочем месте</w:t>
            </w:r>
          </w:p>
          <w:p w14:paraId="3A2309F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оформлять и предоставлять письменные отчеты по результатам своей деятельности</w:t>
            </w:r>
          </w:p>
          <w:p w14:paraId="6D419268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искать необходимую информацию в нормативной документации</w:t>
            </w:r>
          </w:p>
          <w:p w14:paraId="079A858A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читать чертежи, сборочные чертежи, конструкторскую документацию;</w:t>
            </w:r>
          </w:p>
          <w:p w14:paraId="4E01A60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сборку и прихватку готовых металлических деталей согласно конструкторской документации</w:t>
            </w:r>
          </w:p>
          <w:p w14:paraId="304AF21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планировать работу с применением имеющихся чертежей;</w:t>
            </w:r>
          </w:p>
          <w:p w14:paraId="463577BA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пользоваться необходимыми справочниками для выполнения работ;</w:t>
            </w:r>
          </w:p>
          <w:p w14:paraId="0C3EF696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читать сварочные чертежи;</w:t>
            </w:r>
          </w:p>
          <w:p w14:paraId="66868E10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анализировать техническую документацию и сборочные чертежи</w:t>
            </w:r>
          </w:p>
          <w:p w14:paraId="5304F72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читать и понимать техническую документацию, многоугольные проекции и вспомогательные виды компонентов оборудования</w:t>
            </w:r>
          </w:p>
          <w:p w14:paraId="008A1F8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читать и понимать сборочные и детальные чертежи станков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7D1F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310586A6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1C750672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5041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обслуживания, монтажа и сборки промышленного оборудования (знания, умения, трудовые функции)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43BE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E06A8" w:rsidRPr="00691C81" w14:paraId="4233011D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51BE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ABC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709F59F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типичные дефекты при выполнении слесарной обработки, причины их появления и способы предупреждения;</w:t>
            </w:r>
          </w:p>
          <w:p w14:paraId="24207FB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способы разметки и обработки несложных различных деталей;</w:t>
            </w:r>
          </w:p>
          <w:p w14:paraId="0DCFAC9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технологическую последовательность разборки, ремонта и сборки оборудования, агрегатов и машин пневматических и гидравлических систем;</w:t>
            </w:r>
          </w:p>
          <w:p w14:paraId="731C663B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устройство и принципы работы ремонтируемого оборудования, силовых установок, агрегатов и машин;</w:t>
            </w:r>
          </w:p>
          <w:p w14:paraId="238AD5AE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правила регулирования машин и агрегатов;</w:t>
            </w:r>
          </w:p>
          <w:p w14:paraId="20342B96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элементы и применяемое оборудование в пневматических и гидравлических схемах</w:t>
            </w:r>
          </w:p>
          <w:p w14:paraId="0C78D5E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2B22861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демонтировать, проверять, ремонтировать/заменять, устанавливать, регулировать зазор;</w:t>
            </w:r>
          </w:p>
          <w:p w14:paraId="57C3CC9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подгонять и центрировать антифрикционные подшипники с помощью каталогов производителей подшипников; </w:t>
            </w:r>
          </w:p>
          <w:p w14:paraId="0D8C449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замену деталей различных узлов и механизмов;</w:t>
            </w:r>
          </w:p>
          <w:p w14:paraId="592F8A1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смазку, пополнение и замену смазки узлов и механизмов;</w:t>
            </w:r>
          </w:p>
          <w:p w14:paraId="0FD0F078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лазерную центровку валов;</w:t>
            </w:r>
          </w:p>
          <w:p w14:paraId="5DA5DED8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балансировку роторных механизмов в собственных опорах;</w:t>
            </w:r>
          </w:p>
          <w:p w14:paraId="3F62E79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проверять блокировки станков и оборудования;</w:t>
            </w:r>
          </w:p>
          <w:p w14:paraId="505BBE5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выбирать грузозахватные устройства, производить строповку оборудования;</w:t>
            </w:r>
          </w:p>
          <w:p w14:paraId="6AA1B657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выполнять монтаж и сборку гидравлических и пневматических систем, проведение пусконаладочных работ и регулировку, согласно заданным параметрам;</w:t>
            </w:r>
          </w:p>
          <w:p w14:paraId="58DD244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монтаж/демонтаж, ремонтировать и выбирать/заменять соответствующие пневматические и гидравлические устройства и контуры согласно схемам;</w:t>
            </w:r>
          </w:p>
          <w:p w14:paraId="36C5E7F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выбирать правильные режимы резания при работе на токарном и фрезерном станке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308A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29FC9301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39BE8D5A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8B0A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Программное обеспечение и диагностические приборы знания, умения, трудовые функции))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D434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E06A8" w:rsidRPr="00691C81" w14:paraId="203E04D0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0451C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2267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259CC47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основные неисправности и дефекты в диагностируемых узлах и механизмах;</w:t>
            </w:r>
          </w:p>
          <w:p w14:paraId="0A29538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различные версии программного обеспечения для выполнения диагностических и проектируемых работ;</w:t>
            </w:r>
          </w:p>
          <w:p w14:paraId="6E7572FF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методы диагностики технического состояния деталей, узлов и механизмов, оборудования, агрегатов и машин;</w:t>
            </w:r>
          </w:p>
          <w:p w14:paraId="2AC9997F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принципы использования превентивного измерительного оборудования таких как пирометр, инфракрасная камера, виброанализаторы и т.д.</w:t>
            </w:r>
          </w:p>
          <w:p w14:paraId="13127687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4659E74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проектировать пневматические/электропневматические и гидравлические/электрогидравлические схемы согласно заданным параметрам в различном ПО;</w:t>
            </w:r>
          </w:p>
          <w:p w14:paraId="020A0DD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поиск неисправности в пневматических/электропневматических гидравлических/электрогидравлических схемах;</w:t>
            </w:r>
          </w:p>
          <w:p w14:paraId="56C0FD4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настройку для корректной работы диагностического оборудования;</w:t>
            </w:r>
          </w:p>
          <w:p w14:paraId="44C0FA96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создавать, корректировать и сохранять электронные отчеты с помощью различного диагностического ПО;</w:t>
            </w:r>
          </w:p>
          <w:p w14:paraId="3A5A380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пользоваться различными приборами для диагностики и устранения неисправности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3BE08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3B0FFB00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064B531E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582E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сварки (знания, умения, трудовые функции)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8B9D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E06A8" w:rsidRPr="00691C81" w14:paraId="5BE0BB54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F74E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8500A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2336E4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технологию выполнения сварочного производства с помощью ручной дуговой сварки и сварки в среде защитного газа</w:t>
            </w:r>
          </w:p>
          <w:p w14:paraId="0A1A105B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4F22AE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производить настройку оборудования для ручной дуговой сварки и сварки в среде защитного газа;</w:t>
            </w:r>
          </w:p>
          <w:p w14:paraId="7963F6EE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выполнять сварку прихваточным швом, предотвращать и корректировать искривление, собирать готовые детали и выполнять сварку согласно чертежам поставщика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0D6D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6A8" w:rsidRPr="00691C81" w14:paraId="503CAE00" w14:textId="77777777" w:rsidTr="000B64E6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vAlign w:val="center"/>
            <w:hideMark/>
          </w:tcPr>
          <w:p w14:paraId="577F7036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BAA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Инструментарий и материалы (знания, умения, трудовые функции)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ABB8" w14:textId="77777777" w:rsidR="00FE06A8" w:rsidRPr="00691C81" w:rsidRDefault="00FE06A8" w:rsidP="000B64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E06A8" w:rsidRPr="00691C81" w14:paraId="3D727ED9" w14:textId="77777777" w:rsidTr="000B64E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0F04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DE3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0412AE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технологию обработки металлов резанием;</w:t>
            </w:r>
          </w:p>
          <w:p w14:paraId="0F1710B9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основы материаловедения и физико-механические свойства металлов;</w:t>
            </w:r>
          </w:p>
          <w:p w14:paraId="02E93CFD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как выбирать болты, гайки, штифты, стопорные кольца, химические анкерные болты, адгезивы и крепежные детали для конкретных задач</w:t>
            </w:r>
          </w:p>
          <w:p w14:paraId="48D556BB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B6D0CD7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пользоваться измерительным инструментом;</w:t>
            </w:r>
          </w:p>
          <w:p w14:paraId="61927AD5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подбирать необходимый режущий инструмент для выполнения необходимых задач;</w:t>
            </w:r>
          </w:p>
          <w:p w14:paraId="4B7F1857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определять, выбирать и использовать надлежащий контрольно-измерительный инструмент;</w:t>
            </w:r>
          </w:p>
          <w:p w14:paraId="65D5AF13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заточку необходимого режущего инструмента;</w:t>
            </w:r>
          </w:p>
          <w:p w14:paraId="51AA543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выбирать слесарный инструмент и приспособления для сборки и разборки простых узлов и механизмов;</w:t>
            </w:r>
          </w:p>
          <w:p w14:paraId="0E6D22BD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производить рубку, правку, гибку, резку, опиливание, сверление, зенкерование, зенкование, развертывание в соответствии с требуемой технологической последовательностью;</w:t>
            </w:r>
          </w:p>
          <w:p w14:paraId="0BDA69F4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выполнять шабрение, распиливание, пригонку и припасовку, притирку, доводку, полирование;</w:t>
            </w:r>
          </w:p>
          <w:p w14:paraId="551F7F72" w14:textId="77777777" w:rsidR="00FE06A8" w:rsidRPr="00691C81" w:rsidRDefault="00FE06A8" w:rsidP="000B64E6">
            <w:pPr>
              <w:spacing w:after="0" w:line="256" w:lineRule="auto"/>
              <w:ind w:left="205" w:right="4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подбирать режимы резания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0F08" w14:textId="77777777" w:rsidR="00FE06A8" w:rsidRPr="00691C81" w:rsidRDefault="00FE06A8" w:rsidP="000B64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8D3E7E" w14:textId="77777777" w:rsidR="00FE06A8" w:rsidRPr="00640E46" w:rsidRDefault="00FE06A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3357267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488"/>
        <w:gridCol w:w="426"/>
        <w:gridCol w:w="425"/>
        <w:gridCol w:w="567"/>
        <w:gridCol w:w="425"/>
        <w:gridCol w:w="567"/>
        <w:gridCol w:w="567"/>
        <w:gridCol w:w="2685"/>
      </w:tblGrid>
      <w:tr w:rsidR="00FE06A8" w:rsidRPr="00FA7285" w14:paraId="62FF1E7A" w14:textId="77777777" w:rsidTr="000B64E6">
        <w:trPr>
          <w:jc w:val="center"/>
        </w:trPr>
        <w:tc>
          <w:tcPr>
            <w:tcW w:w="69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63975D4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sz w:val="24"/>
                <w:szCs w:val="24"/>
              </w:rPr>
            </w:pPr>
            <w:r w:rsidRPr="00FA728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40E3173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sz w:val="24"/>
                <w:szCs w:val="24"/>
              </w:rPr>
            </w:pPr>
            <w:r w:rsidRPr="00FA7285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E06A8" w:rsidRPr="00FA7285" w14:paraId="1933420B" w14:textId="77777777" w:rsidTr="000B64E6">
        <w:trPr>
          <w:jc w:val="center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70412BA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sz w:val="24"/>
                <w:szCs w:val="24"/>
              </w:rPr>
            </w:pPr>
            <w:r w:rsidRPr="00FA728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F356145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0DE14A3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16E9EC84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27233C14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0DC4809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4686ED7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4150AD5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</w:tcPr>
          <w:p w14:paraId="4F15FA61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E06A8" w:rsidRPr="00FA7285" w14:paraId="16ADF242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5B90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70BA8CA9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3181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3AF0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DF34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BBCF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DFF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2865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26E909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5</w:t>
            </w:r>
          </w:p>
        </w:tc>
      </w:tr>
      <w:tr w:rsidR="00FE06A8" w:rsidRPr="00FA7285" w14:paraId="36C5C390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39C21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18F962C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160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EB0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29C3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081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238F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108B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C2C9E6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13</w:t>
            </w:r>
          </w:p>
        </w:tc>
      </w:tr>
      <w:tr w:rsidR="00FE06A8" w:rsidRPr="00FA7285" w14:paraId="359F2293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459A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1236FA11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1ED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EE95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80C0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2F8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F9F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6F024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DB78CB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30</w:t>
            </w:r>
          </w:p>
        </w:tc>
      </w:tr>
      <w:tr w:rsidR="00FE06A8" w:rsidRPr="00FA7285" w14:paraId="499811F3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3B3E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18338B33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FD68F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D3D0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9E5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E5568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314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2B7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E78566A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22</w:t>
            </w:r>
          </w:p>
        </w:tc>
      </w:tr>
      <w:tr w:rsidR="00FE06A8" w:rsidRPr="00FA7285" w14:paraId="4EA1F946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7144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08071D51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573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A819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A68E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3B9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2F47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10B7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F0003E3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5</w:t>
            </w:r>
          </w:p>
        </w:tc>
      </w:tr>
      <w:tr w:rsidR="00FE06A8" w:rsidRPr="00FA7285" w14:paraId="657F1664" w14:textId="77777777" w:rsidTr="000B64E6">
        <w:trPr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DC28" w14:textId="77777777" w:rsidR="00FE06A8" w:rsidRPr="00FA7285" w:rsidRDefault="00FE06A8" w:rsidP="000B64E6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04DEA953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FA7285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90D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8BEE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304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2521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0B99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D7A8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F81113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25</w:t>
            </w:r>
          </w:p>
        </w:tc>
      </w:tr>
      <w:tr w:rsidR="00FE06A8" w:rsidRPr="00FA7285" w14:paraId="52A1ACF0" w14:textId="77777777" w:rsidTr="000B64E6">
        <w:trPr>
          <w:trHeight w:val="482"/>
          <w:jc w:val="center"/>
        </w:trPr>
        <w:tc>
          <w:tcPr>
            <w:tcW w:w="396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578AF43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8C88FF2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146EAD8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8AC0F39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BD0E4BC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7E3D0C6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9CCF28D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FA7285">
              <w:rPr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681F505" w14:textId="77777777" w:rsidR="00FE06A8" w:rsidRPr="00FA7285" w:rsidRDefault="00FE06A8" w:rsidP="000B64E6">
            <w:pPr>
              <w:spacing w:before="100" w:beforeAutospacing="1" w:after="100" w:afterAutospacing="1" w:line="256" w:lineRule="auto"/>
              <w:jc w:val="center"/>
              <w:rPr>
                <w:b/>
                <w:sz w:val="24"/>
                <w:szCs w:val="24"/>
              </w:rPr>
            </w:pPr>
            <w:r w:rsidRPr="00FA7285">
              <w:rPr>
                <w:b/>
                <w:sz w:val="24"/>
                <w:szCs w:val="24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335726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078"/>
        <w:gridCol w:w="6127"/>
      </w:tblGrid>
      <w:tr w:rsidR="00FE06A8" w:rsidRPr="00FA39B5" w14:paraId="0461A083" w14:textId="77777777" w:rsidTr="000B64E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19D8046C" w14:textId="77777777" w:rsidR="00FE06A8" w:rsidRPr="00FA39B5" w:rsidRDefault="00FE06A8" w:rsidP="000B64E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0F2E7595" w14:textId="77777777" w:rsidR="00FE06A8" w:rsidRPr="00FA39B5" w:rsidRDefault="00FE06A8" w:rsidP="000B64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FE06A8" w:rsidRPr="00FA39B5" w14:paraId="1D3790F4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30576ABA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24A630B2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Токарная обработка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EF50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93" w:right="114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Оцениваются навыки выполнения работ на универсальных токарных станках. Оценке будут подвергаться все линейные и диаметральные размеры, указанные в чертежах.</w:t>
            </w:r>
          </w:p>
        </w:tc>
      </w:tr>
      <w:tr w:rsidR="00FE06A8" w:rsidRPr="00FA39B5" w14:paraId="1949CF6A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77C09FA7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33B9C0A8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Сварка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0B196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93" w:right="114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 xml:space="preserve">Оцениваются навыки выполнения сварочных работ на аппарате полуавтоматической сварки в среде защитного газа. Все сварочные швы оцениваются с помощью судейской оценки. Сварочные швы НЕ зачищаются с помощью УШМ. </w:t>
            </w:r>
          </w:p>
        </w:tc>
      </w:tr>
      <w:tr w:rsidR="00FE06A8" w:rsidRPr="00FA39B5" w14:paraId="25783C82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3FA6DC2A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7F591C1C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Слесарные работы и сборка проекта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84ABF" w14:textId="4C38737D" w:rsidR="00FE06A8" w:rsidRPr="00FA39B5" w:rsidRDefault="00FE06A8" w:rsidP="000B64E6">
            <w:pPr>
              <w:autoSpaceDE w:val="0"/>
              <w:autoSpaceDN w:val="0"/>
              <w:adjustRightInd w:val="0"/>
              <w:ind w:left="117" w:right="114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О оцениваются навыки выполнения слесарных работ. Оценке будут подвергаться все линейные и диаметральные размеры, указанные на чертежах, и навык сборочно-монтажных работ. Все парные элементы должны быть параллельны или симметричны.</w:t>
            </w:r>
            <w:r w:rsidR="004F2BD0">
              <w:rPr>
                <w:sz w:val="28"/>
                <w:szCs w:val="28"/>
              </w:rPr>
              <w:t xml:space="preserve"> Оценивается также правильный расчет количества звеньев цепи цепной передачи</w:t>
            </w:r>
          </w:p>
        </w:tc>
      </w:tr>
      <w:tr w:rsidR="00FE06A8" w:rsidRPr="00FA39B5" w14:paraId="7AF231C2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10B606C5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322E683E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Сборка механической передачи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1E099" w14:textId="134D1F57" w:rsidR="00FE06A8" w:rsidRPr="00FA39B5" w:rsidRDefault="00FE06A8" w:rsidP="000B64E6">
            <w:pPr>
              <w:autoSpaceDE w:val="0"/>
              <w:autoSpaceDN w:val="0"/>
              <w:adjustRightInd w:val="0"/>
              <w:ind w:left="117" w:right="114" w:firstLine="709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Оцениваются навыки монтажа, сборки, и регулировки. Измерениям подвергаются все смонтированные элементы на параллельность, соосность и перпендикулярность, усилие натяжения ремней и радиальные зазоры зубчатых пар</w:t>
            </w:r>
            <w:r w:rsidR="000A3A22">
              <w:rPr>
                <w:sz w:val="28"/>
                <w:szCs w:val="28"/>
              </w:rPr>
              <w:t xml:space="preserve"> и червячной передачи</w:t>
            </w:r>
            <w:r w:rsidR="007A3D5D">
              <w:rPr>
                <w:sz w:val="28"/>
                <w:szCs w:val="28"/>
              </w:rPr>
              <w:t>,</w:t>
            </w:r>
            <w:r w:rsidR="006269A8">
              <w:rPr>
                <w:sz w:val="28"/>
                <w:szCs w:val="28"/>
              </w:rPr>
              <w:t xml:space="preserve"> усилия затяжки болтов, степень натяжения ремня ременной передачи,</w:t>
            </w:r>
            <w:r w:rsidR="007A3D5D">
              <w:rPr>
                <w:sz w:val="28"/>
                <w:szCs w:val="28"/>
              </w:rPr>
              <w:t xml:space="preserve"> а </w:t>
            </w:r>
            <w:r w:rsidRPr="00FA39B5">
              <w:rPr>
                <w:sz w:val="28"/>
                <w:szCs w:val="28"/>
              </w:rPr>
              <w:t>также проверяется работоспособность механизма в течение 10 минут.</w:t>
            </w:r>
          </w:p>
        </w:tc>
      </w:tr>
      <w:tr w:rsidR="00FE06A8" w:rsidRPr="00FA39B5" w14:paraId="44170ACB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386BDA0F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1C995196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Сборка пневматической (гидравлической) схемы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B9CB1" w14:textId="135A62D7" w:rsidR="00FE06A8" w:rsidRPr="00FA39B5" w:rsidRDefault="00FE06A8" w:rsidP="000B64E6">
            <w:pPr>
              <w:autoSpaceDE w:val="0"/>
              <w:autoSpaceDN w:val="0"/>
              <w:adjustRightInd w:val="0"/>
              <w:ind w:left="141" w:right="114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Оцениваются навыки проектирования пневматических (гидравлических) схем и монтажа пневматических (гидравлических) элементов</w:t>
            </w:r>
            <w:r w:rsidR="004F2BD0">
              <w:rPr>
                <w:sz w:val="28"/>
                <w:szCs w:val="28"/>
              </w:rPr>
              <w:t xml:space="preserve"> в пространственном положении</w:t>
            </w:r>
            <w:r w:rsidRPr="00FA39B5">
              <w:rPr>
                <w:sz w:val="28"/>
                <w:szCs w:val="28"/>
              </w:rPr>
              <w:t xml:space="preserve">, а также наладки в соответствии с заданными условиями. </w:t>
            </w:r>
          </w:p>
        </w:tc>
      </w:tr>
      <w:tr w:rsidR="00FE06A8" w:rsidRPr="00FA39B5" w14:paraId="7C388F71" w14:textId="77777777" w:rsidTr="000B64E6">
        <w:tc>
          <w:tcPr>
            <w:tcW w:w="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4305D514" w14:textId="77777777" w:rsidR="00FE06A8" w:rsidRPr="00FA39B5" w:rsidRDefault="00FE06A8" w:rsidP="000B64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39B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0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51CC371B" w14:textId="77777777" w:rsidR="00FE06A8" w:rsidRPr="00FA39B5" w:rsidRDefault="00FE06A8" w:rsidP="000B64E6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b/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Центровка валов и балансировка роторного механизма в собственных опорах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AF4A8" w14:textId="35E332C3" w:rsidR="00FE06A8" w:rsidRPr="00FA39B5" w:rsidRDefault="00FE06A8" w:rsidP="000B64E6">
            <w:pPr>
              <w:autoSpaceDE w:val="0"/>
              <w:autoSpaceDN w:val="0"/>
              <w:adjustRightInd w:val="0"/>
              <w:ind w:left="141" w:right="114"/>
              <w:jc w:val="both"/>
              <w:rPr>
                <w:sz w:val="28"/>
                <w:szCs w:val="28"/>
              </w:rPr>
            </w:pPr>
            <w:r w:rsidRPr="00FA39B5">
              <w:rPr>
                <w:sz w:val="28"/>
                <w:szCs w:val="28"/>
              </w:rPr>
              <w:t>Оцениваются навыки</w:t>
            </w:r>
            <w:r w:rsidR="000A3A22">
              <w:rPr>
                <w:sz w:val="28"/>
                <w:szCs w:val="28"/>
              </w:rPr>
              <w:t xml:space="preserve"> сборки механизма в соответствии с конкурсным заданием,</w:t>
            </w:r>
            <w:r w:rsidRPr="00FA39B5">
              <w:rPr>
                <w:sz w:val="28"/>
                <w:szCs w:val="28"/>
              </w:rPr>
              <w:t xml:space="preserve"> использования диагностического оборудования, такого как: система лазерной центровки, виброанализатор, инфракрасная камера для диагностики, центровки и балансировки ротора.</w:t>
            </w:r>
            <w:r w:rsidR="000A3A22">
              <w:rPr>
                <w:sz w:val="28"/>
                <w:szCs w:val="28"/>
              </w:rPr>
              <w:t xml:space="preserve"> Оценивается комплексная диагностика состояния элементов роторного механизма с использованием специального программного обеспечения.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53357269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5A3D58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69E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5AEC6C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A3A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A3A2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D8E9EC3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</w:t>
      </w:r>
      <w:r w:rsidR="0059136D">
        <w:rPr>
          <w:rFonts w:ascii="Times New Roman" w:hAnsi="Times New Roman" w:cs="Times New Roman"/>
          <w:sz w:val="28"/>
          <w:szCs w:val="28"/>
        </w:rPr>
        <w:t xml:space="preserve">ов </w:t>
      </w:r>
      <w:r w:rsidRPr="00A204BB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5335727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A403F0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9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91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Б, 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Д, Е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53357271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C9847" w14:textId="7230DE31" w:rsidR="0059136D" w:rsidRDefault="00730AE0" w:rsidP="005913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1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91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Токарная обработка</w:t>
      </w:r>
      <w:r w:rsidR="00591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BB0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Инвариант.</w:t>
      </w:r>
    </w:p>
    <w:p w14:paraId="76FAC823" w14:textId="691F41F8" w:rsidR="0059136D" w:rsidRDefault="0059136D" w:rsidP="005913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7017688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Модули А, Б и В входят в основной обязательный блок, выполняются конкурсантами все сразу. Последовательность работ </w:t>
      </w:r>
      <w:r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>по модулям А. Б, В</w:t>
      </w:r>
      <w:r w:rsidR="00BB01A1"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выбирается </w:t>
      </w:r>
      <w:r w:rsidR="004F2BD0"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участником</w:t>
      </w:r>
      <w:r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самостоятельно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Суммарное время обязательного блока </w:t>
      </w:r>
      <w:r w:rsid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bookmarkEnd w:id="12"/>
    <w:p w14:paraId="0DA50DB1" w14:textId="555628C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136D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А включает механическую обработку на токарном станке</w:t>
      </w:r>
    </w:p>
    <w:p w14:paraId="5F5AB8D0" w14:textId="67A0D2C3" w:rsidR="0059136D" w:rsidRDefault="00730AE0" w:rsidP="005913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91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Сварка)</w:t>
      </w:r>
      <w:r w:rsidR="00BB0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13" w:name="_Hlk150761430"/>
      <w:r w:rsidR="00BB01A1" w:rsidRPr="00BB01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Инвариант</w:t>
      </w:r>
    </w:p>
    <w:bookmarkEnd w:id="13"/>
    <w:p w14:paraId="1025291F" w14:textId="77777777" w:rsidR="004F2BD0" w:rsidRDefault="004F2BD0" w:rsidP="004F2B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Модули А, Б и В входят в основной обязательный блок, выполняются конкурсантами все сразу. Последовательность работ </w:t>
      </w:r>
      <w:r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>по модулям А. Б, В выбирается участником самостоятельно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 Суммарное время обязательного блока 6 ч.</w:t>
      </w:r>
    </w:p>
    <w:p w14:paraId="1417C01C" w14:textId="03913BD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1A1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Б включает сварочные работы на аппарате полуавтоматической сварки в среде защитного газа, включая подготовку металлических изделий к сварочным работам.</w:t>
      </w:r>
    </w:p>
    <w:p w14:paraId="3C82D055" w14:textId="3183B9E7" w:rsidR="00BB01A1" w:rsidRDefault="00730AE0" w:rsidP="00BB01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B01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Слесарные работы и сборка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BB01A1" w:rsidRPr="00BB01A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Инвариант</w:t>
      </w:r>
    </w:p>
    <w:p w14:paraId="702650E7" w14:textId="4B15A851" w:rsidR="004F2BD0" w:rsidRDefault="004F2BD0" w:rsidP="004F2B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Модули А, Б и В</w:t>
      </w:r>
      <w:r w:rsidR="00924B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входят в основной обязательный блок, выполняются конкурсантами все сразу. Последовательность работ </w:t>
      </w:r>
      <w:r w:rsidRPr="004F2BD0">
        <w:rPr>
          <w:rFonts w:ascii="Times New Roman" w:eastAsia="Times New Roman" w:hAnsi="Times New Roman" w:cs="Times New Roman"/>
          <w:bCs/>
          <w:i/>
          <w:sz w:val="28"/>
          <w:szCs w:val="28"/>
        </w:rPr>
        <w:t>по модулям А. Б, В выбирается участником самостоятельно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 Суммарное время обязательного блока 6 ч.</w:t>
      </w:r>
    </w:p>
    <w:p w14:paraId="0F44B57E" w14:textId="77777777" w:rsidR="00BB01A1" w:rsidRDefault="00730AE0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1A1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 включает монтаж подшипников качения и упорного подшипника;</w:t>
      </w:r>
    </w:p>
    <w:p w14:paraId="59F3660F" w14:textId="77777777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 включает сборку цепной передачи. Количество звеньев цепной передачи определяется по формуле</w:t>
      </w:r>
    </w:p>
    <w:p w14:paraId="699F2BA2" w14:textId="77777777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A59CC0E" w14:textId="77777777" w:rsidR="00BB01A1" w:rsidRPr="007A47B4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2π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</m:oMath>
      </m:oMathPara>
    </w:p>
    <w:p w14:paraId="01F605A3" w14:textId="77777777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количество зубьев звездочек;</w:t>
      </w:r>
    </w:p>
    <w:p w14:paraId="5642FBCE" w14:textId="77777777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</m:oMath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шаг цепи, мм;</w:t>
      </w:r>
    </w:p>
    <w:p w14:paraId="6C04EC16" w14:textId="30221805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</m:oMath>
      <w:r w:rsidRPr="00844F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межосевое расстояние, мм.</w:t>
      </w:r>
    </w:p>
    <w:p w14:paraId="13E1FFBB" w14:textId="71BE04AE" w:rsidR="00BB01A1" w:rsidRDefault="00BB01A1" w:rsidP="00BB01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включает разметку, сверление, нарезание резьбы в деталях.</w:t>
      </w:r>
    </w:p>
    <w:p w14:paraId="14835FFE" w14:textId="601C669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2DA63" w14:textId="7BA6EC41" w:rsidR="005E5861" w:rsidRDefault="005E5861" w:rsidP="005E58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(Сборка механической передачи)</w:t>
      </w:r>
      <w:r w:rsidR="00461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</w:t>
      </w:r>
    </w:p>
    <w:p w14:paraId="4C50FAAE" w14:textId="5B46430E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59ADC2A5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выполнении задания участнику необходимо собрать механическую передачу (включены ременная передача, зубчатые цилиндрические, зубчатые конические передачи, червячная передача, валы, подшипниковые узлы, муфта, специальный редуктор.). </w:t>
      </w:r>
    </w:p>
    <w:p w14:paraId="7A11212F" w14:textId="471C59BF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(Сборка пневматической схемы)</w:t>
      </w:r>
      <w:r w:rsidR="00461AE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Вариатив</w:t>
      </w:r>
    </w:p>
    <w:p w14:paraId="7E3301D4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05DA28AA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модуля участнику необходимо:</w:t>
      </w:r>
    </w:p>
    <w:p w14:paraId="1D56C4F9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в соответствии с заданием разработать технологическую последовательность срабатывания цилиндров;</w:t>
      </w:r>
    </w:p>
    <w:p w14:paraId="24CF3550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спроектировать с помощью специального программного обеспечения разработанную последовательность работы цилиндров (электропневматическую) используя каскадный метод или последовательный из фиксированного перечня элементов; </w:t>
      </w:r>
    </w:p>
    <w:p w14:paraId="3C3D0206" w14:textId="2C37BE48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 собрать заданную последовательность цилиндров на пневматическом стенде с пространственным расположением цилиндров как в задании;</w:t>
      </w:r>
    </w:p>
    <w:p w14:paraId="0B83705B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найти неисправности в схеме.</w:t>
      </w:r>
    </w:p>
    <w:p w14:paraId="4C7A142C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работы цилиндров может быть указана как напрямую, так и текстовым описанием работы механизма.</w:t>
      </w:r>
    </w:p>
    <w:p w14:paraId="0264AFE8" w14:textId="7A30B40A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Е.  (Центровка валов и балансировка роторного механизма в собственных опорах)</w:t>
      </w:r>
      <w:r w:rsidR="00461AEA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Вариатив</w:t>
      </w:r>
    </w:p>
    <w:p w14:paraId="6BBD1B8A" w14:textId="1436A222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4 часа</w:t>
      </w:r>
    </w:p>
    <w:p w14:paraId="50D6692E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Модуль включает выравнивание муфты механизма стенда с помощью системы лазерной центровки валов.</w:t>
      </w:r>
    </w:p>
    <w:p w14:paraId="4C8DF7C8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модуля участник должен провести предварительный осмотр механизма, провести замеры «мягкой лапы», записать уровни расцентровки механизма до центровки и после центровки. </w:t>
      </w:r>
    </w:p>
    <w:p w14:paraId="7D6786F9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Модуль должен включать составление отчета по всем диагностическим процедурам.</w:t>
      </w:r>
    </w:p>
    <w:p w14:paraId="07B1FE10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измерение общей скорости вибрации и ускорения, с помощью вибрационного анализатора.</w:t>
      </w:r>
    </w:p>
    <w:p w14:paraId="526C6C2D" w14:textId="77777777" w:rsidR="005E5861" w:rsidRDefault="005E5861" w:rsidP="005E58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процедуру проведения балансировки механизма.</w:t>
      </w:r>
    </w:p>
    <w:p w14:paraId="5C7333E2" w14:textId="77777777" w:rsidR="00BB01A1" w:rsidRDefault="00BB01A1" w:rsidP="00BB01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5335727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6AD0F918" w14:textId="318F13ED" w:rsidR="00EA30C6" w:rsidRPr="00C169E1" w:rsidRDefault="005E586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53357273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3625439E" w14:textId="77777777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4384118"/>
      <w:r>
        <w:rPr>
          <w:rFonts w:ascii="Times New Roman" w:eastAsia="Times New Roman" w:hAnsi="Times New Roman" w:cs="Times New Roman"/>
          <w:sz w:val="28"/>
          <w:szCs w:val="28"/>
        </w:rPr>
        <w:t>Список неопределенный - можно привезти оборудование, не включенное в рекомендованный список, кроме запрещенного.</w:t>
      </w:r>
    </w:p>
    <w:p w14:paraId="4E9FC7E9" w14:textId="77777777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перечень оборудования и инструментов определяется конкурсным заданием:</w:t>
      </w:r>
    </w:p>
    <w:p w14:paraId="62C5025F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 xml:space="preserve">Токарные державки 16х16 </w:t>
      </w:r>
    </w:p>
    <w:p w14:paraId="3AF8D05A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Пластины к токарным державкам</w:t>
      </w:r>
    </w:p>
    <w:p w14:paraId="765DDE5D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Державка канавочная 2мм</w:t>
      </w:r>
    </w:p>
    <w:p w14:paraId="0A28958B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Втулки переходные КМ3/КМ2, КМ3/КМ1</w:t>
      </w:r>
    </w:p>
    <w:p w14:paraId="51FD9D6F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Сверлильный патрон для токарного</w:t>
      </w:r>
    </w:p>
    <w:p w14:paraId="098D7E0C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Центр вращающийся</w:t>
      </w:r>
    </w:p>
    <w:p w14:paraId="14295A38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Центровочное сверло</w:t>
      </w:r>
    </w:p>
    <w:p w14:paraId="1176D13E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Ступенчатое сверло</w:t>
      </w:r>
    </w:p>
    <w:p w14:paraId="1645E229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Зенкер 16 мм</w:t>
      </w:r>
    </w:p>
    <w:p w14:paraId="1201FFEF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Набор сверл с шагом 0,5мм (от 4 до 13 мм)</w:t>
      </w:r>
    </w:p>
    <w:p w14:paraId="71C440C6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 xml:space="preserve">Набор напильников (макс 6 шт.) </w:t>
      </w:r>
    </w:p>
    <w:p w14:paraId="10F5DAAD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Набор гаечных ключей или набор инструментов</w:t>
      </w:r>
    </w:p>
    <w:p w14:paraId="42D2E44E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Набор шестигранников</w:t>
      </w:r>
    </w:p>
    <w:p w14:paraId="2F8D6CCA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Молоток слесарный</w:t>
      </w:r>
    </w:p>
    <w:p w14:paraId="5F933CCD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Набор метчиков М5х0,8/ М6х1/ М8х1,25/ М8х1/М10х1,25</w:t>
      </w:r>
    </w:p>
    <w:p w14:paraId="2E905FE3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Микрометр 0-25</w:t>
      </w:r>
    </w:p>
    <w:p w14:paraId="73BB5204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Микрометр 25-50</w:t>
      </w:r>
    </w:p>
    <w:p w14:paraId="74465963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</w:t>
      </w:r>
      <w:r w:rsidRPr="00B534BF">
        <w:rPr>
          <w:rFonts w:ascii="Times New Roman" w:eastAsia="Times New Roman" w:hAnsi="Times New Roman"/>
          <w:sz w:val="28"/>
          <w:szCs w:val="28"/>
        </w:rPr>
        <w:t>тангенциркуль 0-150, 0-300</w:t>
      </w:r>
    </w:p>
    <w:p w14:paraId="49E02792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Маркер перманентный</w:t>
      </w:r>
    </w:p>
    <w:p w14:paraId="375AE894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Чертилка</w:t>
      </w:r>
    </w:p>
    <w:p w14:paraId="359935C1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lastRenderedPageBreak/>
        <w:t>Рулетка 2 или 5м</w:t>
      </w:r>
    </w:p>
    <w:p w14:paraId="51B00B99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Слесарная линейка 300 мм или 500 мм</w:t>
      </w:r>
    </w:p>
    <w:p w14:paraId="69B9C84B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Кернер (ручное/автоматическое)</w:t>
      </w:r>
    </w:p>
    <w:p w14:paraId="1745CBAD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Защитные очки, беруши</w:t>
      </w:r>
    </w:p>
    <w:p w14:paraId="6BA36AEF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Сварочная маска</w:t>
      </w:r>
    </w:p>
    <w:p w14:paraId="774A50C7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Сварочный костюм (фартук)</w:t>
      </w:r>
    </w:p>
    <w:p w14:paraId="7909C92B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WD-40</w:t>
      </w:r>
    </w:p>
    <w:p w14:paraId="07775F99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Металлическая щетка</w:t>
      </w:r>
    </w:p>
    <w:p w14:paraId="099B367E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Угольник поверочный</w:t>
      </w:r>
    </w:p>
    <w:p w14:paraId="2286454F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 xml:space="preserve">Шуруповерт аккумуляторный </w:t>
      </w:r>
    </w:p>
    <w:p w14:paraId="141DB0C2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УШМ с отрезными и лепестковыми дисками</w:t>
      </w:r>
    </w:p>
    <w:p w14:paraId="5212B9C6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Угломер</w:t>
      </w:r>
    </w:p>
    <w:p w14:paraId="336DBCB8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34BF">
        <w:rPr>
          <w:rFonts w:ascii="Times New Roman" w:eastAsia="Times New Roman" w:hAnsi="Times New Roman"/>
          <w:sz w:val="28"/>
          <w:szCs w:val="28"/>
        </w:rPr>
        <w:t>Магнитный уголок для сварки</w:t>
      </w:r>
    </w:p>
    <w:p w14:paraId="13EDA5E1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Калькулятор</w:t>
      </w:r>
    </w:p>
    <w:p w14:paraId="1F0163B6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Дрель ручная</w:t>
      </w:r>
    </w:p>
    <w:p w14:paraId="135AEEB9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Концевые меры длины</w:t>
      </w:r>
    </w:p>
    <w:p w14:paraId="2284EC20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Наждачная бумага</w:t>
      </w:r>
    </w:p>
    <w:p w14:paraId="606354F3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Краска разметочная</w:t>
      </w:r>
    </w:p>
    <w:p w14:paraId="5DBED980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Струбцины зажимные</w:t>
      </w:r>
    </w:p>
    <w:p w14:paraId="7DAADA90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щупов</w:t>
      </w:r>
    </w:p>
    <w:p w14:paraId="1E8FC911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Стойка индикаторная</w:t>
      </w:r>
    </w:p>
    <w:p w14:paraId="0D21434E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Индикатор часового типа</w:t>
      </w:r>
    </w:p>
    <w:p w14:paraId="501FCEAB" w14:textId="77777777" w:rsidR="00C169E1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Режущие пластины для токарных резцов различных типов</w:t>
      </w:r>
    </w:p>
    <w:p w14:paraId="6F484CF6" w14:textId="77777777" w:rsidR="00C169E1" w:rsidRPr="00B534BF" w:rsidRDefault="00C169E1" w:rsidP="00C169E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Сверло цилиндрическое 20 мм с коническим хвостовиком</w:t>
      </w:r>
    </w:p>
    <w:p w14:paraId="43BD6736" w14:textId="77777777" w:rsidR="00C169E1" w:rsidRPr="00A4187F" w:rsidRDefault="00C169E1" w:rsidP="00C169E1">
      <w:pPr>
        <w:pStyle w:val="-2"/>
        <w:ind w:firstLine="709"/>
        <w:rPr>
          <w:rFonts w:ascii="Times New Roman" w:hAnsi="Times New Roman"/>
        </w:rPr>
      </w:pPr>
      <w:bookmarkStart w:id="19" w:name="_Toc153357274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542D678B" w14:textId="07796F6E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44384119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какие бы то ни было внешние материалы для выполнения задания: металлические профили, пластины, листы, крепежные изделия, элементы передач и другое –  их обеспечивает организатор.</w:t>
      </w:r>
    </w:p>
    <w:p w14:paraId="6CEA3308" w14:textId="77777777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Запрещается использовать какие бы то ни было шаблоны, заготовки, кондукторы, трафареты и т. п.</w:t>
      </w:r>
    </w:p>
    <w:p w14:paraId="6FB4BD8D" w14:textId="77777777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или использовать готовые детали.</w:t>
      </w:r>
    </w:p>
    <w:p w14:paraId="03D8CFF9" w14:textId="77777777" w:rsidR="00C169E1" w:rsidRDefault="00C169E1" w:rsidP="00C169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Запрещено участникам проносить и пользоваться на конкурсной площадке мобильным телефоном и принесенными на площадку записями.</w:t>
      </w:r>
    </w:p>
    <w:p w14:paraId="2FAF3FC7" w14:textId="77777777" w:rsidR="00C169E1" w:rsidRPr="00D83E4E" w:rsidRDefault="00C169E1" w:rsidP="00C169E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53357275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0"/>
      <w:bookmarkEnd w:id="21"/>
    </w:p>
    <w:p w14:paraId="712E713C" w14:textId="43B7FE16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924B73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14:paraId="1DBAF0A0" w14:textId="107A5358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924B73" w:rsidRPr="00924B7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27ADFE45" w14:textId="5EB9B19E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924B73" w:rsidRPr="00924B73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5900763B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«Промышленная механика и монтаж».</w:t>
      </w:r>
    </w:p>
    <w:p w14:paraId="01C4951F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Чертежи модулей АБВ</w:t>
      </w:r>
    </w:p>
    <w:p w14:paraId="6D997803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Задание модуля Г</w:t>
      </w:r>
    </w:p>
    <w:p w14:paraId="339DFC4F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Задание модуля Д</w:t>
      </w:r>
    </w:p>
    <w:p w14:paraId="4EE53EC9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Задание модуль Е</w:t>
      </w:r>
    </w:p>
    <w:p w14:paraId="4BA687ED" w14:textId="77777777" w:rsidR="00C169E1" w:rsidRDefault="00C169E1" w:rsidP="00C16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B61AAF" w14:textId="089E260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A2793" w14:textId="58B4819C" w:rsidR="002B3DBB" w:rsidRDefault="007B3FD5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GoBack"/>
      <w:bookmarkEnd w:id="22"/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1751" w14:textId="77777777" w:rsidR="00796367" w:rsidRDefault="00796367" w:rsidP="00970F49">
      <w:pPr>
        <w:spacing w:after="0" w:line="240" w:lineRule="auto"/>
      </w:pPr>
      <w:r>
        <w:separator/>
      </w:r>
    </w:p>
  </w:endnote>
  <w:endnote w:type="continuationSeparator" w:id="0">
    <w:p w14:paraId="4A1E146E" w14:textId="77777777" w:rsidR="00796367" w:rsidRDefault="007963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3974A25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24B73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7D0B" w14:textId="77777777" w:rsidR="00796367" w:rsidRDefault="00796367" w:rsidP="00970F49">
      <w:pPr>
        <w:spacing w:after="0" w:line="240" w:lineRule="auto"/>
      </w:pPr>
      <w:r>
        <w:separator/>
      </w:r>
    </w:p>
  </w:footnote>
  <w:footnote w:type="continuationSeparator" w:id="0">
    <w:p w14:paraId="48012A53" w14:textId="77777777" w:rsidR="00796367" w:rsidRDefault="0079636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7160140"/>
    <w:multiLevelType w:val="hybridMultilevel"/>
    <w:tmpl w:val="1592C79A"/>
    <w:lvl w:ilvl="0" w:tplc="6906A18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3471"/>
    <w:multiLevelType w:val="multilevel"/>
    <w:tmpl w:val="1B4EF1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2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3A22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022A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5031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1AE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BD0"/>
    <w:rsid w:val="005055FF"/>
    <w:rsid w:val="00510059"/>
    <w:rsid w:val="00554CBB"/>
    <w:rsid w:val="005560AC"/>
    <w:rsid w:val="00557CC0"/>
    <w:rsid w:val="0056194A"/>
    <w:rsid w:val="00565B7C"/>
    <w:rsid w:val="0059136D"/>
    <w:rsid w:val="005A1625"/>
    <w:rsid w:val="005A203B"/>
    <w:rsid w:val="005B05D5"/>
    <w:rsid w:val="005B0DEC"/>
    <w:rsid w:val="005B66FC"/>
    <w:rsid w:val="005C6A23"/>
    <w:rsid w:val="005E30DC"/>
    <w:rsid w:val="005E5861"/>
    <w:rsid w:val="00605DD7"/>
    <w:rsid w:val="0060658F"/>
    <w:rsid w:val="00613219"/>
    <w:rsid w:val="006227F8"/>
    <w:rsid w:val="006269A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6367"/>
    <w:rsid w:val="007A3D5D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1E4D"/>
    <w:rsid w:val="00853CF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4B73"/>
    <w:rsid w:val="00932AA3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0B72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01A1"/>
    <w:rsid w:val="00BC3813"/>
    <w:rsid w:val="00BC7808"/>
    <w:rsid w:val="00BD3923"/>
    <w:rsid w:val="00BE099A"/>
    <w:rsid w:val="00BF389E"/>
    <w:rsid w:val="00C06EBC"/>
    <w:rsid w:val="00C0723F"/>
    <w:rsid w:val="00C121F9"/>
    <w:rsid w:val="00C169E1"/>
    <w:rsid w:val="00C17B01"/>
    <w:rsid w:val="00C21E3A"/>
    <w:rsid w:val="00C26C83"/>
    <w:rsid w:val="00C31CA1"/>
    <w:rsid w:val="00C52383"/>
    <w:rsid w:val="00C56A9B"/>
    <w:rsid w:val="00C740CF"/>
    <w:rsid w:val="00C8277D"/>
    <w:rsid w:val="00C854D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4FDC"/>
    <w:rsid w:val="00E579D6"/>
    <w:rsid w:val="00E6668B"/>
    <w:rsid w:val="00E75567"/>
    <w:rsid w:val="00E857D6"/>
    <w:rsid w:val="00EA0163"/>
    <w:rsid w:val="00EA0C3A"/>
    <w:rsid w:val="00EA30C6"/>
    <w:rsid w:val="00EB2779"/>
    <w:rsid w:val="00ED18F9"/>
    <w:rsid w:val="00ED1BA6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99"/>
    <w:rsid w:val="00FE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81A-F2C3-49AB-8EC0-52578B3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2969</Words>
  <Characters>16929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2023-12-13T07:56:00Z</dcterms:created>
  <dcterms:modified xsi:type="dcterms:W3CDTF">2023-12-13T07:56:00Z</dcterms:modified>
</cp:coreProperties>
</file>