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2"/>
        <w:tblW w:type="auto" w:w="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5670"/>
        <w:gridCol w:w="4680"/>
      </w:tblGrid>
      <w:tr>
        <w:tc>
          <w:tcPr>
            <w:tcW w:type="dxa" w:w="567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3000000">
            <w:pPr>
              <w:pStyle w:val="Style_3"/>
              <w:rPr>
                <w:sz w:val="30"/>
              </w:rPr>
            </w:pPr>
            <w:r>
              <w:rPr>
                <w:b w:val="1"/>
              </w:rPr>
              <w:drawing>
                <wp:inline>
                  <wp:extent cx="3343275" cy="1289099"/>
                  <wp:effectExtent b="0" l="0" r="0" t="0"/>
                  <wp:docPr hidden="false" id="1" name="Picture 1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3343275" cy="12890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8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4000000">
            <w:pPr>
              <w:spacing w:line="360" w:lineRule="auto"/>
              <w:ind w:firstLine="0" w:left="290"/>
              <w:jc w:val="center"/>
              <w:rPr>
                <w:sz w:val="30"/>
              </w:rPr>
            </w:pPr>
          </w:p>
        </w:tc>
      </w:tr>
    </w:tbl>
    <w:p w14:paraId="05000000">
      <w:pPr>
        <w:spacing w:after="0" w:line="360" w:lineRule="auto"/>
        <w:ind/>
        <w:jc w:val="right"/>
        <w:rPr>
          <w:rFonts w:ascii="Times New Roman" w:hAnsi="Times New Roman"/>
        </w:rPr>
      </w:pPr>
    </w:p>
    <w:p w14:paraId="06000000">
      <w:pPr>
        <w:spacing w:after="0" w:line="360" w:lineRule="auto"/>
        <w:ind/>
        <w:jc w:val="right"/>
        <w:rPr>
          <w:rFonts w:ascii="Times New Roman" w:hAnsi="Times New Roman"/>
        </w:rPr>
      </w:pPr>
    </w:p>
    <w:p w14:paraId="07000000">
      <w:pPr>
        <w:spacing w:after="0" w:line="360" w:lineRule="auto"/>
        <w:ind/>
        <w:jc w:val="right"/>
        <w:rPr>
          <w:rFonts w:ascii="Times New Roman" w:hAnsi="Times New Roman"/>
          <w:sz w:val="72"/>
        </w:rPr>
      </w:pPr>
    </w:p>
    <w:p w14:paraId="08000000">
      <w:pPr>
        <w:spacing w:after="0" w:line="360" w:lineRule="auto"/>
        <w:ind/>
        <w:jc w:val="right"/>
        <w:rPr>
          <w:rFonts w:ascii="Times New Roman" w:hAnsi="Times New Roman"/>
          <w:sz w:val="72"/>
        </w:rPr>
      </w:pPr>
    </w:p>
    <w:p w14:paraId="09000000">
      <w:pPr>
        <w:spacing w:line="240" w:lineRule="auto"/>
        <w:ind/>
        <w:jc w:val="center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>КОНКУРСНОЕ ЗАДАНИЕ КОМПЕТЕНЦИИ</w:t>
      </w:r>
    </w:p>
    <w:p w14:paraId="0A000000">
      <w:pPr>
        <w:spacing w:after="0" w:line="360" w:lineRule="auto"/>
        <w:ind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«</w:t>
      </w:r>
      <w:r>
        <w:rPr>
          <w:rFonts w:ascii="Times New Roman" w:hAnsi="Times New Roman"/>
          <w:sz w:val="36"/>
        </w:rPr>
        <w:t>Работы на токарных универсальных станках</w:t>
      </w:r>
      <w:r>
        <w:rPr>
          <w:rFonts w:ascii="Times New Roman" w:hAnsi="Times New Roman"/>
          <w:sz w:val="36"/>
        </w:rPr>
        <w:t>»</w:t>
      </w:r>
    </w:p>
    <w:p w14:paraId="0B000000">
      <w:pPr>
        <w:spacing w:after="0" w:line="360" w:lineRule="auto"/>
        <w:ind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Регионального этапа</w:t>
      </w:r>
      <w:r>
        <w:rPr>
          <w:rFonts w:ascii="Times New Roman" w:hAnsi="Times New Roman"/>
          <w:sz w:val="36"/>
        </w:rPr>
        <w:t xml:space="preserve"> </w:t>
      </w:r>
      <w:r>
        <w:rPr>
          <w:rFonts w:ascii="Times New Roman" w:hAnsi="Times New Roman"/>
          <w:sz w:val="36"/>
        </w:rPr>
        <w:t>Чемпионата по профессиональному мастерству</w:t>
      </w:r>
      <w:r>
        <w:rPr>
          <w:rFonts w:ascii="Times New Roman" w:hAnsi="Times New Roman"/>
          <w:sz w:val="36"/>
        </w:rPr>
        <w:t xml:space="preserve"> «Профессионалы» в 20</w:t>
      </w:r>
      <w:r>
        <w:rPr>
          <w:rFonts w:ascii="Times New Roman" w:hAnsi="Times New Roman"/>
          <w:sz w:val="36"/>
        </w:rPr>
        <w:t>24</w:t>
      </w:r>
      <w:r>
        <w:rPr>
          <w:rFonts w:ascii="Times New Roman" w:hAnsi="Times New Roman"/>
          <w:sz w:val="36"/>
        </w:rPr>
        <w:t>г.</w:t>
      </w:r>
    </w:p>
    <w:p w14:paraId="0C000000">
      <w:pPr>
        <w:spacing w:after="0" w:line="360" w:lineRule="auto"/>
        <w:ind/>
        <w:jc w:val="center"/>
        <w:rPr>
          <w:rFonts w:ascii="Times New Roman" w:hAnsi="Times New Roman"/>
          <w:sz w:val="72"/>
        </w:rPr>
      </w:pPr>
    </w:p>
    <w:p w14:paraId="0D000000">
      <w:pPr>
        <w:spacing w:after="0" w:line="360" w:lineRule="auto"/>
        <w:ind/>
        <w:rPr>
          <w:rFonts w:ascii="Times New Roman" w:hAnsi="Times New Roman"/>
        </w:rPr>
      </w:pPr>
    </w:p>
    <w:p w14:paraId="0E000000">
      <w:pPr>
        <w:spacing w:after="0" w:line="360" w:lineRule="auto"/>
        <w:ind/>
        <w:rPr>
          <w:rFonts w:ascii="Times New Roman" w:hAnsi="Times New Roman"/>
        </w:rPr>
      </w:pPr>
    </w:p>
    <w:p w14:paraId="0F000000">
      <w:pPr>
        <w:spacing w:after="0" w:line="360" w:lineRule="auto"/>
        <w:ind/>
        <w:rPr>
          <w:rFonts w:ascii="Times New Roman" w:hAnsi="Times New Roman"/>
        </w:rPr>
      </w:pPr>
    </w:p>
    <w:p w14:paraId="10000000">
      <w:pPr>
        <w:spacing w:after="0" w:line="360" w:lineRule="auto"/>
        <w:ind/>
        <w:rPr>
          <w:rFonts w:ascii="Times New Roman" w:hAnsi="Times New Roman"/>
        </w:rPr>
      </w:pPr>
    </w:p>
    <w:p w14:paraId="11000000">
      <w:pPr>
        <w:spacing w:after="0" w:line="360" w:lineRule="auto"/>
        <w:ind/>
        <w:rPr>
          <w:rFonts w:ascii="Times New Roman" w:hAnsi="Times New Roman"/>
        </w:rPr>
      </w:pPr>
    </w:p>
    <w:p w14:paraId="12000000">
      <w:pPr>
        <w:spacing w:after="0" w:line="360" w:lineRule="auto"/>
        <w:ind/>
        <w:rPr>
          <w:rFonts w:ascii="Times New Roman" w:hAnsi="Times New Roman"/>
        </w:rPr>
      </w:pPr>
    </w:p>
    <w:p w14:paraId="13000000">
      <w:pPr>
        <w:spacing w:after="0" w:line="360" w:lineRule="auto"/>
        <w:ind/>
        <w:rPr>
          <w:rFonts w:ascii="Times New Roman" w:hAnsi="Times New Roman"/>
        </w:rPr>
      </w:pPr>
    </w:p>
    <w:p w14:paraId="14000000">
      <w:pPr>
        <w:spacing w:after="0" w:line="360" w:lineRule="auto"/>
        <w:ind/>
        <w:rPr>
          <w:rFonts w:ascii="Times New Roman" w:hAnsi="Times New Roman"/>
        </w:rPr>
      </w:pPr>
    </w:p>
    <w:p w14:paraId="15000000">
      <w:pPr>
        <w:spacing w:after="0" w:line="360" w:lineRule="auto"/>
        <w:ind/>
        <w:rPr>
          <w:rFonts w:ascii="Times New Roman" w:hAnsi="Times New Roman"/>
        </w:rPr>
      </w:pPr>
    </w:p>
    <w:p w14:paraId="16000000">
      <w:pPr>
        <w:spacing w:after="0" w:line="360" w:lineRule="auto"/>
        <w:ind/>
        <w:rPr>
          <w:rFonts w:ascii="Times New Roman" w:hAnsi="Times New Roman"/>
        </w:rPr>
      </w:pPr>
    </w:p>
    <w:p w14:paraId="17000000">
      <w:pPr>
        <w:spacing w:after="0" w:line="360" w:lineRule="auto"/>
        <w:ind/>
        <w:rPr>
          <w:rFonts w:ascii="Times New Roman" w:hAnsi="Times New Roman"/>
        </w:rPr>
      </w:pPr>
    </w:p>
    <w:p w14:paraId="18000000">
      <w:pPr>
        <w:spacing w:after="0" w:line="36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2024</w:t>
      </w:r>
      <w:r>
        <w:rPr>
          <w:rFonts w:ascii="Times New Roman" w:hAnsi="Times New Roman"/>
        </w:rPr>
        <w:t xml:space="preserve"> г.</w:t>
      </w:r>
    </w:p>
    <w:p w14:paraId="19000000">
      <w:pPr>
        <w:pStyle w:val="Style_4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Конкурсное задание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разработан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экспертным сообществом </w:t>
      </w:r>
      <w:r>
        <w:rPr>
          <w:rFonts w:ascii="Times New Roman" w:hAnsi="Times New Roman"/>
          <w:sz w:val="28"/>
        </w:rPr>
        <w:t>и утвержден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Менеджером компетенции</w:t>
      </w:r>
      <w:r>
        <w:rPr>
          <w:rFonts w:ascii="Times New Roman" w:hAnsi="Times New Roman"/>
          <w:sz w:val="28"/>
        </w:rPr>
        <w:t xml:space="preserve">, в котором установлены нижеследующие правила и </w:t>
      </w:r>
      <w:r>
        <w:rPr>
          <w:rFonts w:ascii="Times New Roman" w:hAnsi="Times New Roman"/>
          <w:sz w:val="28"/>
        </w:rPr>
        <w:t>необходимые требования владения профессиональным</w:t>
      </w:r>
      <w:r>
        <w:rPr>
          <w:rFonts w:ascii="Times New Roman" w:hAnsi="Times New Roman"/>
          <w:sz w:val="28"/>
        </w:rPr>
        <w:t>и навыками</w:t>
      </w:r>
      <w:r>
        <w:rPr>
          <w:rFonts w:ascii="Times New Roman" w:hAnsi="Times New Roman"/>
          <w:sz w:val="28"/>
        </w:rPr>
        <w:t xml:space="preserve"> для участия в </w:t>
      </w:r>
      <w:r>
        <w:rPr>
          <w:rFonts w:ascii="Times New Roman" w:hAnsi="Times New Roman"/>
          <w:sz w:val="28"/>
        </w:rPr>
        <w:t xml:space="preserve">соревнованиях по </w:t>
      </w:r>
      <w:r>
        <w:rPr>
          <w:rFonts w:ascii="Times New Roman" w:hAnsi="Times New Roman"/>
          <w:sz w:val="28"/>
        </w:rPr>
        <w:t>профессиональному мастерству</w:t>
      </w:r>
      <w:r>
        <w:rPr>
          <w:rFonts w:ascii="Times New Roman" w:hAnsi="Times New Roman"/>
          <w:sz w:val="28"/>
        </w:rPr>
        <w:t>.</w:t>
      </w:r>
    </w:p>
    <w:p w14:paraId="1A000000">
      <w:pPr>
        <w:pStyle w:val="Style_4"/>
        <w:spacing w:line="240" w:lineRule="auto"/>
        <w:ind w:firstLine="0" w:left="0"/>
        <w:rPr>
          <w:rFonts w:ascii="Times New Roman" w:hAnsi="Times New Roman"/>
        </w:rPr>
      </w:pPr>
    </w:p>
    <w:p w14:paraId="1B000000">
      <w:pPr>
        <w:pStyle w:val="Style_5"/>
        <w:numPr>
          <w:ilvl w:val="0"/>
          <w:numId w:val="0"/>
        </w:numPr>
        <w:spacing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Конкурсное задание</w:t>
      </w:r>
      <w:r>
        <w:rPr>
          <w:rFonts w:ascii="Times New Roman" w:hAnsi="Times New Roman"/>
          <w:b w:val="1"/>
          <w:sz w:val="28"/>
        </w:rPr>
        <w:t xml:space="preserve"> включает в себя следующие разделы:</w:t>
      </w:r>
    </w:p>
    <w:p w14:paraId="1C000000">
      <w:pPr>
        <w:pStyle w:val="Style_5"/>
        <w:numPr>
          <w:ilvl w:val="0"/>
          <w:numId w:val="0"/>
        </w:numPr>
        <w:spacing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>
      <w:pPr>
        <w:pStyle w:val="Style_6"/>
        <w:tabs>
          <w:tab w:leader="none" w:pos="9825" w:val="clear"/>
          <w:tab w:leader="dot" w:pos="9639" w:val="right"/>
        </w:tabs>
        <w:ind/>
      </w:pPr>
      <w:r>
        <w:fldChar w:fldCharType="begin"/>
      </w:r>
      <w:r>
        <w:instrText xml:space="preserve">TOC \h \z \u \o "1-2"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1. ОСНОВНЫЕ ТРЕБОВАНИЯ КОМПЕТЕНЦИИ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E000000">
      <w:pPr>
        <w:pStyle w:val="Style_7"/>
        <w:tabs>
          <w:tab w:leader="none" w:pos="142" w:val="clear"/>
          <w:tab w:leader="none" w:pos="9639" w:val="clear"/>
          <w:tab w:leader="dot" w:pos="9639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1.1. ОБЩИЕ СВЕДЕНИЯ О ТРЕБОВАНИЯХ КОМПЕТЕНЦИИ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F000000">
      <w:pPr>
        <w:pStyle w:val="Style_7"/>
        <w:tabs>
          <w:tab w:leader="none" w:pos="142" w:val="clear"/>
          <w:tab w:leader="none" w:pos="9639" w:val="clear"/>
          <w:tab w:leader="dot" w:pos="9639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1.2. ПЕРЕЧЕНЬ ПРОФЕССИОНАЛЬНЫХ ЗАДАЧ СПЕЦИАЛИСТА ПО КОМПЕТЕНЦИИ «РАБОТЫ НА ТОКАРНЫХ УНИВЕРСАЛЬНЫХ СТАНКАХ»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0000000">
      <w:pPr>
        <w:pStyle w:val="Style_7"/>
        <w:tabs>
          <w:tab w:leader="none" w:pos="142" w:val="clear"/>
          <w:tab w:leader="none" w:pos="9639" w:val="clear"/>
          <w:tab w:leader="dot" w:pos="9639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1.3. ТРЕБОВАНИЯ К СХЕМЕ ОЦЕНКИ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1000000">
      <w:pPr>
        <w:pStyle w:val="Style_7"/>
        <w:tabs>
          <w:tab w:leader="none" w:pos="142" w:val="clear"/>
          <w:tab w:leader="none" w:pos="9639" w:val="clear"/>
          <w:tab w:leader="dot" w:pos="9639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1.4. СПЕЦИФИКАЦИЯ ОЦЕНКИ КОМПЕТЕНЦИИ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2000000">
      <w:pPr>
        <w:pStyle w:val="Style_7"/>
        <w:tabs>
          <w:tab w:leader="none" w:pos="142" w:val="clear"/>
          <w:tab w:leader="none" w:pos="9639" w:val="clear"/>
          <w:tab w:leader="dot" w:pos="9639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1.5.2. Структура модулей конкурсного задания (инвариант)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3000000">
      <w:pPr>
        <w:pStyle w:val="Style_7"/>
        <w:tabs>
          <w:tab w:leader="none" w:pos="142" w:val="clear"/>
          <w:tab w:leader="none" w:pos="9639" w:val="clear"/>
          <w:tab w:leader="dot" w:pos="9639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2. СПЕЦИАЛЬНЫЕ ПРАВИЛА КОМПЕТЕНЦИИ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4000000">
      <w:pPr>
        <w:pStyle w:val="Style_7"/>
        <w:tabs>
          <w:tab w:leader="none" w:pos="142" w:val="clear"/>
          <w:tab w:leader="none" w:pos="9639" w:val="clear"/>
          <w:tab w:leader="dot" w:pos="9639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2.1. Материалы, оборудование и инструменты в Инструментальном ящике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5000000">
      <w:pPr>
        <w:pStyle w:val="Style_6"/>
        <w:tabs>
          <w:tab w:leader="none" w:pos="9825" w:val="clear"/>
          <w:tab w:leader="dot" w:pos="9639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3. ПРИЛОЖЕНИЯ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r>
        <w:fldChar w:fldCharType="end"/>
      </w:r>
    </w:p>
    <w:p w14:paraId="27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28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29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2A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2B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2C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2D000000">
      <w:pPr>
        <w:pStyle w:val="Style_8"/>
        <w:spacing w:line="240" w:lineRule="auto"/>
        <w:ind/>
      </w:pPr>
    </w:p>
    <w:p w14:paraId="2E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2F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30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31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32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33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34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35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36000000">
      <w:pPr>
        <w:pStyle w:val="Style_5"/>
        <w:numPr>
          <w:ilvl w:val="0"/>
          <w:numId w:val="0"/>
        </w:numPr>
        <w:spacing w:line="240" w:lineRule="auto"/>
        <w:ind/>
        <w:jc w:val="both"/>
        <w:rPr>
          <w:rFonts w:ascii="Times New Roman" w:hAnsi="Times New Roman"/>
          <w:sz w:val="24"/>
        </w:rPr>
      </w:pPr>
    </w:p>
    <w:p w14:paraId="37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8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9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A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B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C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D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E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F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40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41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42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43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44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45000000">
      <w:pPr>
        <w:pStyle w:val="Style_5"/>
        <w:numPr>
          <w:ilvl w:val="0"/>
          <w:numId w:val="0"/>
        </w:num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ИСПОЛЬЗУЕМЫЕ СОКРАЩЕНИЯ</w:t>
      </w:r>
    </w:p>
    <w:p w14:paraId="46000000">
      <w:pPr>
        <w:pStyle w:val="Style_5"/>
        <w:numPr>
          <w:ilvl w:val="0"/>
          <w:numId w:val="0"/>
        </w:numPr>
        <w:spacing w:line="240" w:lineRule="auto"/>
        <w:ind/>
        <w:rPr>
          <w:rFonts w:ascii="Times New Roman" w:hAnsi="Times New Roman"/>
          <w:i w:val="1"/>
          <w:sz w:val="28"/>
          <w:vertAlign w:val="subscript"/>
        </w:rPr>
      </w:pPr>
      <w:r>
        <w:rPr>
          <w:rFonts w:ascii="Times New Roman" w:hAnsi="Times New Roman"/>
          <w:sz w:val="28"/>
        </w:rPr>
        <w:t xml:space="preserve">1. ТК – требования компетенции </w:t>
      </w:r>
    </w:p>
    <w:p w14:paraId="47000000">
      <w:pPr>
        <w:pStyle w:val="Style_5"/>
        <w:numPr>
          <w:ilvl w:val="0"/>
          <w:numId w:val="0"/>
        </w:numPr>
        <w:spacing w:line="240" w:lineRule="auto"/>
        <w:ind w:hanging="360" w:left="360"/>
        <w:jc w:val="both"/>
        <w:rPr>
          <w:rFonts w:ascii="Times New Roman" w:hAnsi="Times New Roman"/>
          <w:sz w:val="24"/>
        </w:rPr>
      </w:pPr>
    </w:p>
    <w:p w14:paraId="48000000">
      <w:pPr>
        <w:spacing w:after="0" w:line="240" w:lineRule="auto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br w:type="page"/>
      </w:r>
    </w:p>
    <w:p w14:paraId="49000000">
      <w:bookmarkStart w:id="1" w:name="__RefHeading___1"/>
      <w:bookmarkEnd w:id="1"/>
      <w:pPr>
        <w:pStyle w:val="Style_9"/>
        <w:spacing w:after="0" w:line="240" w:lineRule="auto"/>
        <w:ind/>
        <w:jc w:val="center"/>
        <w:rPr>
          <w:rFonts w:ascii="Times New Roman" w:hAnsi="Times New Roman"/>
          <w:color w:val="000000"/>
          <w:sz w:val="34"/>
        </w:rPr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34"/>
        </w:rPr>
        <w:t xml:space="preserve"> </w:t>
      </w:r>
      <w:r>
        <w:rPr>
          <w:rFonts w:ascii="Times New Roman" w:hAnsi="Times New Roman"/>
          <w:color w:val="000000"/>
          <w:sz w:val="28"/>
        </w:rPr>
        <w:t>ОСНОВНЫЕ ТРЕБОВАНИЯ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КОМПЕТЕНЦИИ</w:t>
      </w:r>
    </w:p>
    <w:p w14:paraId="4A000000">
      <w:bookmarkStart w:id="2" w:name="__RefHeading___2"/>
      <w:bookmarkEnd w:id="2"/>
      <w:pPr>
        <w:pStyle w:val="Style_8"/>
        <w:spacing w:after="24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.1. </w:t>
      </w:r>
      <w:r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КОМПЕТЕНЦИИ</w:t>
      </w:r>
    </w:p>
    <w:p w14:paraId="4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 компетенции (ТК) «</w:t>
      </w:r>
      <w:r>
        <w:rPr>
          <w:rFonts w:ascii="Times New Roman" w:hAnsi="Times New Roman"/>
          <w:sz w:val="28"/>
        </w:rPr>
        <w:t>Работы на токарных универсальных станках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bookmarkStart w:id="3" w:name="_Hlk123050441"/>
      <w:r>
        <w:rPr>
          <w:rFonts w:ascii="Times New Roman" w:hAnsi="Times New Roman"/>
          <w:sz w:val="28"/>
        </w:rPr>
        <w:t>определя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>т знани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умения, навыки и трудовые функции</w:t>
      </w:r>
      <w:bookmarkEnd w:id="3"/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которые лежат в основе </w:t>
      </w:r>
      <w:r>
        <w:rPr>
          <w:rFonts w:ascii="Times New Roman" w:hAnsi="Times New Roman"/>
          <w:sz w:val="28"/>
        </w:rPr>
        <w:t>наиболее актуальных</w:t>
      </w:r>
      <w:r>
        <w:rPr>
          <w:rFonts w:ascii="Times New Roman" w:hAnsi="Times New Roman"/>
          <w:sz w:val="28"/>
        </w:rPr>
        <w:t xml:space="preserve"> требований работодателей</w:t>
      </w:r>
      <w:r>
        <w:rPr>
          <w:rFonts w:ascii="Times New Roman" w:hAnsi="Times New Roman"/>
          <w:sz w:val="28"/>
        </w:rPr>
        <w:t xml:space="preserve"> отрасли.</w:t>
      </w:r>
      <w:r>
        <w:rPr>
          <w:rFonts w:ascii="Times New Roman" w:hAnsi="Times New Roman"/>
          <w:sz w:val="28"/>
        </w:rPr>
        <w:t xml:space="preserve"> </w:t>
      </w:r>
    </w:p>
    <w:p w14:paraId="4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Целью соревнований</w:t>
      </w:r>
      <w:r>
        <w:rPr>
          <w:rFonts w:ascii="Times New Roman" w:hAnsi="Times New Roman"/>
          <w:sz w:val="28"/>
        </w:rPr>
        <w:t xml:space="preserve"> по компетенции является демонстрация лучших</w:t>
      </w:r>
      <w:r>
        <w:rPr>
          <w:rFonts w:ascii="Times New Roman" w:hAnsi="Times New Roman"/>
          <w:sz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>
        <w:rPr>
          <w:rFonts w:ascii="Times New Roman" w:hAnsi="Times New Roman"/>
          <w:sz w:val="28"/>
        </w:rPr>
        <w:t xml:space="preserve"> 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ребования</w:t>
      </w:r>
      <w:r>
        <w:rPr>
          <w:rFonts w:ascii="Times New Roman" w:hAnsi="Times New Roman"/>
          <w:sz w:val="28"/>
        </w:rPr>
        <w:t xml:space="preserve"> компетенции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явля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тся руководством </w:t>
      </w:r>
      <w:r>
        <w:rPr>
          <w:rFonts w:ascii="Times New Roman" w:hAnsi="Times New Roman"/>
          <w:sz w:val="28"/>
        </w:rPr>
        <w:t>для подготовки конкурентоспособных, высококвалифицированных специалистов / рабочих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участия их в конкурсах профессионального мастерства.</w:t>
      </w:r>
    </w:p>
    <w:p w14:paraId="4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соревнованиях по ко</w:t>
      </w:r>
      <w:r>
        <w:rPr>
          <w:rFonts w:ascii="Times New Roman" w:hAnsi="Times New Roman"/>
          <w:sz w:val="28"/>
        </w:rPr>
        <w:t xml:space="preserve">мпетенции </w:t>
      </w:r>
      <w:r>
        <w:rPr>
          <w:rFonts w:ascii="Times New Roman" w:hAnsi="Times New Roman"/>
          <w:sz w:val="28"/>
        </w:rPr>
        <w:t xml:space="preserve">проверка </w:t>
      </w:r>
      <w:r>
        <w:rPr>
          <w:rFonts w:ascii="Times New Roman" w:hAnsi="Times New Roman"/>
          <w:sz w:val="28"/>
        </w:rPr>
        <w:t>знаний</w:t>
      </w:r>
      <w:r>
        <w:rPr>
          <w:rFonts w:ascii="Times New Roman" w:hAnsi="Times New Roman"/>
          <w:sz w:val="28"/>
        </w:rPr>
        <w:t>, умени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, навык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и трудовы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функци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осуществляется посредством оценки выполнения </w:t>
      </w:r>
      <w:r>
        <w:rPr>
          <w:rFonts w:ascii="Times New Roman" w:hAnsi="Times New Roman"/>
          <w:sz w:val="28"/>
        </w:rPr>
        <w:t xml:space="preserve">практической </w:t>
      </w:r>
      <w:r>
        <w:rPr>
          <w:rFonts w:ascii="Times New Roman" w:hAnsi="Times New Roman"/>
          <w:sz w:val="28"/>
        </w:rPr>
        <w:t xml:space="preserve">работы. </w:t>
      </w:r>
    </w:p>
    <w:p w14:paraId="4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</w:t>
      </w:r>
      <w:r>
        <w:rPr>
          <w:rFonts w:ascii="Times New Roman" w:hAnsi="Times New Roman"/>
          <w:sz w:val="28"/>
        </w:rPr>
        <w:t xml:space="preserve"> компетенции</w:t>
      </w:r>
      <w:r>
        <w:rPr>
          <w:rFonts w:ascii="Times New Roman" w:hAnsi="Times New Roman"/>
          <w:sz w:val="28"/>
        </w:rPr>
        <w:t xml:space="preserve"> разделен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 xml:space="preserve"> четкие разделы с номерами и заголовками</w:t>
      </w:r>
      <w:r>
        <w:rPr>
          <w:rFonts w:ascii="Times New Roman" w:hAnsi="Times New Roman"/>
          <w:sz w:val="28"/>
        </w:rPr>
        <w:t>, к</w:t>
      </w:r>
      <w:r>
        <w:rPr>
          <w:rFonts w:ascii="Times New Roman" w:hAnsi="Times New Roman"/>
          <w:sz w:val="28"/>
        </w:rPr>
        <w:t>аждому разделу назначен процент относительной важности</w:t>
      </w:r>
      <w:r>
        <w:rPr>
          <w:rFonts w:ascii="Times New Roman" w:hAnsi="Times New Roman"/>
          <w:sz w:val="28"/>
        </w:rPr>
        <w:t>, с</w:t>
      </w:r>
      <w:r>
        <w:rPr>
          <w:rFonts w:ascii="Times New Roman" w:hAnsi="Times New Roman"/>
          <w:sz w:val="28"/>
        </w:rPr>
        <w:t xml:space="preserve">умма </w:t>
      </w:r>
      <w:r>
        <w:rPr>
          <w:rFonts w:ascii="Times New Roman" w:hAnsi="Times New Roman"/>
          <w:sz w:val="28"/>
        </w:rPr>
        <w:t xml:space="preserve">которых </w:t>
      </w:r>
      <w:r>
        <w:rPr>
          <w:rFonts w:ascii="Times New Roman" w:hAnsi="Times New Roman"/>
          <w:sz w:val="28"/>
        </w:rPr>
        <w:t>составляет 100.</w:t>
      </w:r>
    </w:p>
    <w:p w14:paraId="50000000">
      <w:bookmarkStart w:id="4" w:name="__RefHeading___3"/>
      <w:bookmarkEnd w:id="4"/>
      <w:pPr>
        <w:pStyle w:val="Style_8"/>
        <w:spacing w:line="240" w:lineRule="auto"/>
        <w:ind w:firstLine="709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2. ПЕРЕЧЕНЬ ПРОФЕССИОНАЛЬНЫХ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ЗАДАЧ СПЕЦИАЛИСТА ПО КОМПЕТЕНЦИИ «</w:t>
      </w:r>
      <w:r>
        <w:rPr>
          <w:rFonts w:ascii="Times New Roman" w:hAnsi="Times New Roman"/>
          <w:sz w:val="24"/>
        </w:rPr>
        <w:t>РАБОТЫ НА ТОКАРНЫХ УНИВЕРСАЛЬНЫХ СТАНКАХ</w:t>
      </w:r>
      <w:r>
        <w:rPr>
          <w:rFonts w:ascii="Times New Roman" w:hAnsi="Times New Roman"/>
          <w:sz w:val="24"/>
        </w:rPr>
        <w:t>»</w:t>
      </w:r>
    </w:p>
    <w:p w14:paraId="51000000">
      <w:pPr>
        <w:spacing w:after="0" w:line="240" w:lineRule="auto"/>
        <w:ind/>
        <w:jc w:val="both"/>
        <w:rPr>
          <w:rFonts w:ascii="Times New Roman" w:hAnsi="Times New Roman"/>
          <w:i w:val="1"/>
          <w:sz w:val="20"/>
        </w:rPr>
      </w:pPr>
      <w:r>
        <w:rPr>
          <w:rFonts w:ascii="Times New Roman" w:hAnsi="Times New Roman"/>
          <w:i w:val="1"/>
          <w:sz w:val="20"/>
        </w:rPr>
        <w:t xml:space="preserve">Перечень </w:t>
      </w:r>
      <w:r>
        <w:rPr>
          <w:rFonts w:ascii="Times New Roman" w:hAnsi="Times New Roman"/>
          <w:i w:val="1"/>
          <w:sz w:val="20"/>
        </w:rPr>
        <w:t>видов профессиональной деятельности,</w:t>
      </w:r>
      <w:r>
        <w:rPr>
          <w:rFonts w:ascii="Times New Roman" w:hAnsi="Times New Roman"/>
          <w:i w:val="1"/>
          <w:sz w:val="20"/>
        </w:rPr>
        <w:t xml:space="preserve"> умений и </w:t>
      </w:r>
      <w:r>
        <w:rPr>
          <w:rFonts w:ascii="Times New Roman" w:hAnsi="Times New Roman"/>
          <w:i w:val="1"/>
          <w:sz w:val="20"/>
        </w:rPr>
        <w:t>знаний</w:t>
      </w:r>
      <w:r>
        <w:rPr>
          <w:rFonts w:ascii="Times New Roman" w:hAnsi="Times New Roman"/>
          <w:i w:val="1"/>
          <w:sz w:val="20"/>
        </w:rPr>
        <w:t>,</w:t>
      </w:r>
      <w:r>
        <w:rPr>
          <w:rFonts w:ascii="Times New Roman" w:hAnsi="Times New Roman"/>
          <w:i w:val="1"/>
          <w:sz w:val="20"/>
        </w:rPr>
        <w:t xml:space="preserve"> и</w:t>
      </w:r>
      <w:r>
        <w:rPr>
          <w:rFonts w:ascii="Times New Roman" w:hAnsi="Times New Roman"/>
          <w:i w:val="1"/>
          <w:sz w:val="20"/>
        </w:rPr>
        <w:t xml:space="preserve"> профессиональных трудовых функций специалиста</w:t>
      </w:r>
      <w:r>
        <w:rPr>
          <w:rFonts w:ascii="Times New Roman" w:hAnsi="Times New Roman"/>
          <w:i w:val="1"/>
          <w:sz w:val="20"/>
        </w:rPr>
        <w:t xml:space="preserve"> (из ФГОС/ПС/ЕТКС.)</w:t>
      </w:r>
      <w:r>
        <w:rPr>
          <w:rFonts w:ascii="Times New Roman" w:hAnsi="Times New Roman"/>
          <w:i w:val="1"/>
          <w:sz w:val="20"/>
        </w:rPr>
        <w:t xml:space="preserve"> </w:t>
      </w:r>
      <w:r>
        <w:rPr>
          <w:rFonts w:ascii="Times New Roman" w:hAnsi="Times New Roman"/>
          <w:i w:val="1"/>
          <w:sz w:val="20"/>
        </w:rPr>
        <w:t>и базируется на требованиях современного рынка труда к данному специалисту</w:t>
      </w:r>
    </w:p>
    <w:p w14:paraId="52000000">
      <w:pPr>
        <w:spacing w:after="0" w:line="240" w:lineRule="auto"/>
        <w:ind/>
        <w:jc w:val="right"/>
        <w:rPr>
          <w:rFonts w:ascii="Times New Roman" w:hAnsi="Times New Roman"/>
          <w:i w:val="1"/>
          <w:sz w:val="20"/>
        </w:rPr>
      </w:pPr>
      <w:r>
        <w:rPr>
          <w:rFonts w:ascii="Times New Roman" w:hAnsi="Times New Roman"/>
          <w:i w:val="1"/>
          <w:sz w:val="20"/>
        </w:rPr>
        <w:t xml:space="preserve">Таблица </w:t>
      </w:r>
      <w:r>
        <w:rPr>
          <w:rFonts w:ascii="Times New Roman" w:hAnsi="Times New Roman"/>
          <w:i w:val="1"/>
          <w:sz w:val="20"/>
        </w:rPr>
        <w:t>№1</w:t>
      </w:r>
    </w:p>
    <w:p w14:paraId="53000000">
      <w:pPr>
        <w:spacing w:after="0" w:line="240" w:lineRule="auto"/>
        <w:ind/>
        <w:jc w:val="right"/>
        <w:rPr>
          <w:rFonts w:ascii="Times New Roman" w:hAnsi="Times New Roman"/>
          <w:i w:val="1"/>
          <w:sz w:val="20"/>
        </w:rPr>
      </w:pPr>
    </w:p>
    <w:p w14:paraId="54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Перечень профессиональных задач специалиста</w:t>
      </w:r>
    </w:p>
    <w:p w14:paraId="55000000">
      <w:pPr>
        <w:spacing w:after="0" w:line="240" w:lineRule="auto"/>
        <w:ind/>
        <w:jc w:val="center"/>
        <w:rPr>
          <w:rFonts w:ascii="Times New Roman" w:hAnsi="Times New Roman"/>
          <w:i w:val="1"/>
          <w:sz w:val="20"/>
        </w:rPr>
      </w:pPr>
    </w:p>
    <w:tbl>
      <w:tblPr>
        <w:tblStyle w:val="Style_10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5"/>
        <w:gridCol w:w="6810"/>
        <w:gridCol w:w="2184"/>
      </w:tblGrid>
      <w:tr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56000000">
            <w:pPr>
              <w:spacing w:line="240" w:lineRule="auto"/>
              <w:ind/>
              <w:jc w:val="center"/>
              <w:rPr>
                <w:rFonts w:ascii="Times New Roman" w:hAnsi="Times New Roman"/>
                <w:b w:val="1"/>
                <w:color w:val="FFFFFF"/>
                <w:sz w:val="24"/>
              </w:rPr>
            </w:pPr>
            <w:r>
              <w:rPr>
                <w:rFonts w:ascii="Times New Roman" w:hAnsi="Times New Roman"/>
                <w:b w:val="1"/>
                <w:color w:val="FFFFFF"/>
                <w:sz w:val="24"/>
              </w:rPr>
              <w:t>№ п/п</w:t>
            </w:r>
          </w:p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57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color w:val="FFFFFF"/>
                <w:sz w:val="24"/>
                <w:highlight w:val="green"/>
              </w:rPr>
            </w:pPr>
            <w:r>
              <w:rPr>
                <w:rFonts w:ascii="Times New Roman" w:hAnsi="Times New Roman"/>
                <w:b w:val="1"/>
                <w:color w:val="FFFFFF"/>
                <w:sz w:val="24"/>
              </w:rPr>
              <w:t>Раздел</w:t>
            </w:r>
          </w:p>
        </w:tc>
        <w:tc>
          <w:tcPr>
            <w:tcW w:type="dxa" w:w="2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58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color w:val="FFFFFF"/>
                <w:sz w:val="24"/>
              </w:rPr>
            </w:pPr>
            <w:r>
              <w:rPr>
                <w:rFonts w:ascii="Times New Roman" w:hAnsi="Times New Roman"/>
                <w:b w:val="1"/>
                <w:color w:val="FFFFFF"/>
                <w:sz w:val="24"/>
              </w:rPr>
              <w:t>Важность в %</w:t>
            </w:r>
          </w:p>
        </w:tc>
      </w:tr>
      <w:tr>
        <w:tc>
          <w:tcPr>
            <w:tcW w:type="dxa" w:w="6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59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5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рабочего места, правила техники безопасности и охраны труда</w:t>
            </w:r>
          </w:p>
        </w:tc>
        <w:tc>
          <w:tcPr>
            <w:tcW w:type="dxa" w:w="218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C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D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E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F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0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Специалист должен знать и понимать:</w:t>
            </w:r>
          </w:p>
          <w:p w14:paraId="6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виды и правила применения средств индивидуальной и коллективной защиты при выполнении работ на универсальных токарных и точильно-шлифовальных станках;  </w:t>
            </w:r>
          </w:p>
          <w:p w14:paraId="6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опасные и вредные факторы, требования охраны труда, пожарной, промышленной, экологической и электробезопасности;  </w:t>
            </w:r>
          </w:p>
          <w:p w14:paraId="6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требования к планировке и оснащению рабочего места при выполнении токарных работ;  </w:t>
            </w:r>
          </w:p>
          <w:p w14:paraId="6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область действия и пределы используемых рабочих площадок и рабочего пространства.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Специалист должен уметь:</w:t>
            </w:r>
          </w:p>
          <w:p w14:paraId="6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применять средства индивидуальной и коллективной защиты при выполнении работ на </w:t>
            </w:r>
          </w:p>
          <w:p w14:paraId="6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универсальных токарных станках;  </w:t>
            </w:r>
          </w:p>
          <w:p w14:paraId="6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применять технику безопасности, нормы охраны здоровья и лучшую практику;  </w:t>
            </w:r>
          </w:p>
          <w:p w14:paraId="6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организовать рабочее пространство для обеспечения оптимальной производительности;  </w:t>
            </w:r>
          </w:p>
          <w:p w14:paraId="6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проверять состояние и функциональные возможности рабочего пространства, </w:t>
            </w:r>
          </w:p>
          <w:p w14:paraId="6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оборудования, инструментов и материалов;  </w:t>
            </w:r>
          </w:p>
          <w:p w14:paraId="6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приводить рабочее пространство в его первоначальное состояние.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6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6E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6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Техническая документация</w:t>
            </w:r>
          </w:p>
        </w:tc>
        <w:tc>
          <w:tcPr>
            <w:tcW w:type="dxa" w:w="218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7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 должен знать:  </w:t>
            </w:r>
          </w:p>
          <w:p w14:paraId="7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правила чтения технической документации (рабочих чертежей, технологических карт, эскизов) в объеме, необходимом для выполнения работы;  </w:t>
            </w:r>
          </w:p>
          <w:p w14:paraId="7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обозначение на рабочих чертежах допусков размеров, форм и взаимного расположения </w:t>
            </w:r>
          </w:p>
          <w:p w14:paraId="7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поверхностей, шероховатости поверхностей, технических требований;  </w:t>
            </w:r>
          </w:p>
          <w:p w14:paraId="7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виды и содержание технологической документации, используемой в организации.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1012"/>
        </w:trP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 должен уметь:  </w:t>
            </w:r>
          </w:p>
          <w:p w14:paraId="7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читать и применять техническую документацию на простые и сложные детали.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6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78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79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7A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7B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7C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7D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7E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7F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0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1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2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8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</w:t>
            </w:r>
          </w:p>
        </w:tc>
        <w:tc>
          <w:tcPr>
            <w:tcW w:type="dxa" w:w="218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5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6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7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8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9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A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B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C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D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8E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  <w:p w14:paraId="8F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90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91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92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93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94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95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96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97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 должен знать:  </w:t>
            </w:r>
          </w:p>
          <w:p w14:paraId="9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правила и приемы установки заготовок без выверки и с выверкой по детали;</w:t>
            </w:r>
          </w:p>
          <w:p w14:paraId="9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способы и приемы точения наружных и внутренних поверхностей заготовок простых и сложных деталей;  </w:t>
            </w:r>
          </w:p>
          <w:p w14:paraId="9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способы и приемы обработки конусных поверхностей;  </w:t>
            </w:r>
          </w:p>
          <w:p w14:paraId="9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способы и приемы токарной обработки поверхностей заготовок простых и средней сложности деталей с точностью размеров по 8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14 квалитетам на специализированных станках, налаженных для обработки определенных деталей или отдельных операций;  </w:t>
            </w:r>
          </w:p>
          <w:p w14:paraId="9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способы и приемы точения наружных и внутренних резьб на заготовках простых и сложных деталей на универсальных токарных станках;  </w:t>
            </w:r>
          </w:p>
          <w:p w14:paraId="9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правила и приемы установки заготовок с выверкой в двух плоскостях.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 должен уметь:  </w:t>
            </w:r>
          </w:p>
          <w:p w14:paraId="A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выполнять токарную обработку поверхностей (включая конические) заготовок простых и сложных деталей с точностью размеров по 8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14 квалитетам на универсальных токарных станках в соответствии с технологической картой и рабочим чертежом;  </w:t>
            </w:r>
          </w:p>
          <w:p w14:paraId="A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выполнять нарезание резьбы метчиками и плашками на универсальных токарных станках в соответствии с технологической картой и рабочим чертежом;  </w:t>
            </w:r>
          </w:p>
          <w:p w14:paraId="A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выполнять токарную обработку поверхностей заготовок сложных деталей с точностью размеров по 7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10 квалитетам на специализированных станках, налаженных для обработки </w:t>
            </w:r>
            <w:r>
              <w:rPr>
                <w:rFonts w:ascii="Times New Roman" w:hAnsi="Times New Roman"/>
                <w:sz w:val="24"/>
              </w:rPr>
              <w:t xml:space="preserve">определенных деталей и операций, в соответствии с технической документацией;  </w:t>
            </w:r>
          </w:p>
          <w:p w14:paraId="A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выполнять нарезание наружной и внутренней однозаходной треугольной, прямоугольной и трапецеидальной резьбы резцами и вихревыми головками в соответствии с технологической картой и рабочим чертежом; </w:t>
            </w:r>
          </w:p>
          <w:p w14:paraId="A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устанавливать заготовки без выверки и с грубой выверкой;  </w:t>
            </w:r>
          </w:p>
          <w:p w14:paraId="A5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устанавливать заготовки с выверкой в двух плоскостях.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6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A6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7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8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9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A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B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C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D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E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F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0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1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2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B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Режущий и мерительный инструмент</w:t>
            </w:r>
          </w:p>
        </w:tc>
        <w:tc>
          <w:tcPr>
            <w:tcW w:type="dxa" w:w="218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5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6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7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8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9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A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B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C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D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E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BF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C0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</w:tr>
      <w:t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 должен знать:  </w:t>
            </w:r>
          </w:p>
          <w:p w14:paraId="C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конструкция, назначение, геометрические параметры и правила эксплуатации режущих инструментов, применяемых на токарных станках; </w:t>
            </w:r>
          </w:p>
          <w:p w14:paraId="C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приемы и правила установки режущих инструментов; </w:t>
            </w:r>
          </w:p>
          <w:p w14:paraId="C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способы, правила и приемы заточки простых резцов и сверл; </w:t>
            </w:r>
          </w:p>
          <w:p w14:paraId="C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способы и приемы контроля геометрических параметров резцов и сверл </w:t>
            </w:r>
          </w:p>
          <w:p w14:paraId="C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основы метрологии в объеме, необходимом для выполнения работы;  </w:t>
            </w:r>
          </w:p>
          <w:p w14:paraId="C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виды и области применения контрольно-измерительных приборов;  </w:t>
            </w:r>
          </w:p>
          <w:p w14:paraId="C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способы определения точности размеров, формы и взаимного расположения поверхностей деталей;  </w:t>
            </w:r>
          </w:p>
          <w:p w14:paraId="C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устройство, назначение, правила применения контрольно-измерительных инструментов, обеспечивающих погрешность измерения не ниже 0,01 мм;  </w:t>
            </w:r>
          </w:p>
          <w:p w14:paraId="C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виды и области применения калибров;  </w:t>
            </w:r>
          </w:p>
          <w:p w14:paraId="C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устройство калибров и правила их использования; </w:t>
            </w:r>
          </w:p>
          <w:p w14:paraId="C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приемы работы с калибрами;  </w:t>
            </w:r>
          </w:p>
          <w:p w14:paraId="C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виды и области применения контрольно-измерительных инструментов для измерения резьб;  </w:t>
            </w:r>
          </w:p>
          <w:p w14:paraId="C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приемы работы с контрольно-измерительными инструментами для измерения наружных и внутренних однозаходных треугольных, прямоугольных и трапецеидальных резьб;  </w:t>
            </w:r>
          </w:p>
          <w:p w14:paraId="C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способы определения шероховатости поверхностей;  </w:t>
            </w:r>
          </w:p>
          <w:p w14:paraId="D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устройство, назначение, правила применения приборов и приспособлений для контроля шероховатости поверхностей;  </w:t>
            </w:r>
          </w:p>
          <w:p w14:paraId="D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приемы и правила определения шероховатости обработанной поверхности;  </w:t>
            </w:r>
          </w:p>
          <w:p w14:paraId="D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виды, устройство и области применения контрольно-измерительных приборов для контроля геометрических параметров резцов и сверл;  </w:t>
            </w:r>
          </w:p>
          <w:p w14:paraId="D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способы и приемы контроля геометрических параметров резцов и сверл.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 должен уметь: </w:t>
            </w:r>
          </w:p>
          <w:p w14:paraId="D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• выбирать, подготавливать к работе, устанавливать на станок и использовать токарные режущие инструменты; </w:t>
            </w:r>
          </w:p>
          <w:p w14:paraId="D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определять степень износа режущих инструментов;  </w:t>
            </w:r>
          </w:p>
          <w:p w14:paraId="D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затачивать резцы и сверла в соответствии с обрабатываемым материалом;</w:t>
            </w:r>
          </w:p>
          <w:p w14:paraId="D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контролировать геометрические параметры резцов и сверл </w:t>
            </w:r>
          </w:p>
          <w:p w14:paraId="D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определять визуально дефекты обработанных поверхностей;  </w:t>
            </w:r>
          </w:p>
          <w:p w14:paraId="D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выбирать необходимые контрольно-измерительные инструменты для измерения простых деталей с точностью размеров по 8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14 квалитетам;  </w:t>
            </w:r>
          </w:p>
          <w:p w14:paraId="D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выполнять измерения деталей контрольно-измерительными инструментами, обеспечивающими погрешность измерения не ниже 0,01 мм, в соответствии с технологической документацией;  </w:t>
            </w:r>
          </w:p>
          <w:p w14:paraId="D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выбирать вид калибра;  </w:t>
            </w:r>
          </w:p>
          <w:p w14:paraId="D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выполнять контроль при помощи калибров;  </w:t>
            </w:r>
          </w:p>
          <w:p w14:paraId="D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выбирать необходимые контрольно-измерительные инструменты для измерения наружных и внутренних однозаходных треугольных, прямоугольных и трапецеидальных </w:t>
            </w:r>
          </w:p>
          <w:p w14:paraId="D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резьб;  </w:t>
            </w:r>
          </w:p>
          <w:p w14:paraId="E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выполнять контроль наружных и внутренних однозаходных треугольных, прямоугольных и трапецеидальных резьб; </w:t>
            </w:r>
          </w:p>
          <w:p w14:paraId="E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выбирать способ определения шероховатости обработанной поверхности;  </w:t>
            </w:r>
          </w:p>
          <w:p w14:paraId="E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определять шероховатость обработанных поверхностей.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6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E3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 w14:paraId="E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Материальный мир</w:t>
            </w:r>
          </w:p>
        </w:tc>
        <w:tc>
          <w:tcPr>
            <w:tcW w:type="dxa" w:w="218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 должен знать: </w:t>
            </w:r>
          </w:p>
          <w:p w14:paraId="E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 основные свойства и маркировка обрабатываемых и инструментальных материалов; </w:t>
            </w:r>
          </w:p>
          <w:p w14:paraId="E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 назначение, свойства и способы применения при токарной обработке смазочно-охлаждающих жидкостей.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6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BF" w:val="clear"/>
            <w:vAlign w:val="center"/>
          </w:tcPr>
          <w:p/>
        </w:tc>
        <w:tc>
          <w:tcPr>
            <w:tcW w:type="dxa" w:w="6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 должен уметь: </w:t>
            </w:r>
          </w:p>
          <w:p w14:paraId="E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 применять смазочно-охлаждающую жидкость.</w:t>
            </w:r>
          </w:p>
        </w:tc>
        <w:tc>
          <w:tcPr>
            <w:tcW w:type="dxa" w:w="21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</w:tbl>
    <w:p w14:paraId="EB000000">
      <w:pPr>
        <w:pStyle w:val="Style_11"/>
        <w:rPr>
          <w:b w:val="1"/>
          <w:i w:val="1"/>
          <w:sz w:val="28"/>
          <w:vertAlign w:val="subscript"/>
        </w:rPr>
      </w:pPr>
      <w:r>
        <w:rPr>
          <w:b w:val="1"/>
          <w:i w:val="1"/>
          <w:sz w:val="28"/>
          <w:vertAlign w:val="subscript"/>
        </w:rPr>
        <w:t xml:space="preserve">Проверить/соотнести с </w:t>
      </w:r>
      <w:r>
        <w:rPr>
          <w:b w:val="1"/>
          <w:i w:val="1"/>
          <w:sz w:val="28"/>
          <w:vertAlign w:val="subscript"/>
        </w:rPr>
        <w:t>ФГОС</w:t>
      </w:r>
      <w:r>
        <w:rPr>
          <w:b w:val="1"/>
          <w:i w:val="1"/>
          <w:sz w:val="28"/>
          <w:vertAlign w:val="subscript"/>
        </w:rPr>
        <w:t xml:space="preserve">, </w:t>
      </w:r>
      <w:r>
        <w:rPr>
          <w:b w:val="1"/>
          <w:i w:val="1"/>
          <w:sz w:val="28"/>
          <w:vertAlign w:val="subscript"/>
        </w:rPr>
        <w:t>ПС, Отраслевыми стандартами</w:t>
      </w:r>
    </w:p>
    <w:p w14:paraId="EC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8"/>
          <w:vertAlign w:val="subscript"/>
        </w:rPr>
      </w:pPr>
    </w:p>
    <w:p w14:paraId="ED000000">
      <w:bookmarkStart w:id="5" w:name="__RefHeading___4"/>
      <w:bookmarkEnd w:id="5"/>
      <w:pPr>
        <w:pStyle w:val="Style_12"/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color w:val="000000"/>
          <w:sz w:val="24"/>
        </w:rPr>
        <w:t xml:space="preserve">1.3. </w:t>
      </w:r>
      <w:r>
        <w:rPr>
          <w:rFonts w:ascii="Times New Roman" w:hAnsi="Times New Roman"/>
          <w:color w:val="000000"/>
        </w:rPr>
        <w:t>ТРЕБОВАНИЯ К СХЕМЕ ОЦЕНКИ</w:t>
      </w:r>
    </w:p>
    <w:p w14:paraId="E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EF000000">
      <w:pPr>
        <w:spacing w:after="0" w:line="240" w:lineRule="auto"/>
        <w:ind w:firstLine="709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№2</w:t>
      </w:r>
    </w:p>
    <w:p w14:paraId="F0000000">
      <w:pPr>
        <w:spacing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Матрица пересчета требований компетенции в критерии оценки</w:t>
      </w:r>
    </w:p>
    <w:tbl>
      <w:tblPr>
        <w:tblStyle w:val="Style_2"/>
        <w:tblW w:type="auto" w:w="0"/>
        <w:jc w:val="center"/>
        <w:tblLayout w:type="fixed"/>
      </w:tblPr>
      <w:tblGrid>
        <w:gridCol w:w="1884"/>
        <w:gridCol w:w="316"/>
        <w:gridCol w:w="1763"/>
        <w:gridCol w:w="1892"/>
        <w:gridCol w:w="1890"/>
        <w:gridCol w:w="1884"/>
      </w:tblGrid>
      <w:tr>
        <w:trPr>
          <w:trHeight w:hRule="atLeast" w:val="1538"/>
        </w:trPr>
        <w:tc>
          <w:tcPr>
            <w:tcW w:type="dxa" w:w="774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F1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Критерий/Модуль</w:t>
            </w:r>
          </w:p>
        </w:tc>
        <w:tc>
          <w:tcPr>
            <w:tcW w:type="dxa" w:w="1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F2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Итого баллов за раздел ТРЕБОВАНИЙ КОМПЕТЕНЦИИ</w:t>
            </w:r>
          </w:p>
        </w:tc>
      </w:tr>
      <w:tr>
        <w:trPr>
          <w:trHeight w:hRule="atLeast" w:val="50"/>
        </w:trPr>
        <w:tc>
          <w:tcPr>
            <w:tcW w:type="dxa" w:w="188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F3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Разделы ТРЕБОВАНИЙ КОМПЕТЕНЦИИ</w:t>
            </w:r>
          </w:p>
        </w:tc>
        <w:tc>
          <w:tcPr>
            <w:tcW w:type="dxa" w:w="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F4000000">
            <w:pPr>
              <w:ind/>
              <w:jc w:val="center"/>
              <w:rPr>
                <w:color w:themeColor="background1" w:val="FFFFFF"/>
              </w:rPr>
            </w:pPr>
          </w:p>
        </w:tc>
        <w:tc>
          <w:tcPr>
            <w:tcW w:type="dxa" w:w="1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F5000000">
            <w:pPr>
              <w:ind/>
              <w:jc w:val="center"/>
              <w:rPr>
                <w:b w:val="1"/>
                <w:color w:themeColor="background1" w:val="FFFFFF"/>
              </w:rPr>
            </w:pPr>
            <w:r>
              <w:rPr>
                <w:b w:val="1"/>
                <w:color w:themeColor="background1" w:val="FFFFFF"/>
              </w:rPr>
              <w:t>А</w:t>
            </w:r>
          </w:p>
        </w:tc>
        <w:tc>
          <w:tcPr>
            <w:tcW w:type="dxa" w:w="1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F6000000">
            <w:pPr>
              <w:ind/>
              <w:jc w:val="center"/>
              <w:rPr>
                <w:b w:val="1"/>
                <w:color w:themeColor="background1" w:val="FFFFFF"/>
              </w:rPr>
            </w:pPr>
            <w:r>
              <w:rPr>
                <w:b w:val="1"/>
                <w:color w:themeColor="background1" w:val="FFFFFF"/>
              </w:rPr>
              <w:t>Б</w:t>
            </w:r>
          </w:p>
        </w:tc>
        <w:tc>
          <w:tcPr>
            <w:tcW w:type="dxa" w:w="1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F7000000">
            <w:pPr>
              <w:ind/>
              <w:jc w:val="center"/>
              <w:rPr>
                <w:b w:val="1"/>
                <w:color w:themeColor="background1" w:val="FFFFFF"/>
              </w:rPr>
            </w:pPr>
            <w:r>
              <w:rPr>
                <w:b w:val="1"/>
                <w:color w:themeColor="background1" w:val="FFFFFF"/>
              </w:rPr>
              <w:t>В</w:t>
            </w:r>
          </w:p>
        </w:tc>
        <w:tc>
          <w:tcPr>
            <w:tcW w:type="dxa" w:w="1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F8000000">
            <w:pPr>
              <w:ind w:hanging="176" w:left="176" w:right="172"/>
              <w:jc w:val="both"/>
              <w:rPr>
                <w:b w:val="1"/>
              </w:rPr>
            </w:pPr>
          </w:p>
        </w:tc>
      </w:tr>
      <w:tr>
        <w:trPr>
          <w:trHeight w:hRule="atLeast" w:val="50"/>
        </w:trPr>
        <w:tc>
          <w:tcPr>
            <w:tcW w:type="dxa" w:w="18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/>
        </w:tc>
        <w:tc>
          <w:tcPr>
            <w:tcW w:type="dxa" w:w="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F9000000">
            <w:pPr>
              <w:ind/>
              <w:jc w:val="center"/>
              <w:rPr>
                <w:b w:val="1"/>
                <w:color w:themeColor="background1" w:val="FFFFFF"/>
              </w:rPr>
            </w:pPr>
            <w:r>
              <w:rPr>
                <w:b w:val="1"/>
                <w:color w:themeColor="background1" w:val="FFFFFF"/>
              </w:rPr>
              <w:t>1</w:t>
            </w:r>
          </w:p>
        </w:tc>
        <w:tc>
          <w:tcPr>
            <w:tcW w:type="dxa" w:w="1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C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vAlign w:val="center"/>
          </w:tcPr>
          <w:p w14:paraId="FD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50"/>
        </w:trPr>
        <w:tc>
          <w:tcPr>
            <w:tcW w:type="dxa" w:w="18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/>
        </w:tc>
        <w:tc>
          <w:tcPr>
            <w:tcW w:type="dxa" w:w="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FE000000">
            <w:pPr>
              <w:ind/>
              <w:jc w:val="center"/>
              <w:rPr>
                <w:b w:val="1"/>
                <w:color w:themeColor="background1" w:val="FFFFFF"/>
              </w:rPr>
            </w:pPr>
            <w:r>
              <w:rPr>
                <w:b w:val="1"/>
                <w:color w:themeColor="background1" w:val="FFFFFF"/>
              </w:rPr>
              <w:t>2</w:t>
            </w:r>
          </w:p>
        </w:tc>
        <w:tc>
          <w:tcPr>
            <w:tcW w:type="dxa" w:w="1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0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1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vAlign w:val="center"/>
          </w:tcPr>
          <w:p w14:paraId="02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hRule="atLeast" w:val="50"/>
        </w:trPr>
        <w:tc>
          <w:tcPr>
            <w:tcW w:type="dxa" w:w="18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/>
        </w:tc>
        <w:tc>
          <w:tcPr>
            <w:tcW w:type="dxa" w:w="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03010000">
            <w:pPr>
              <w:ind/>
              <w:jc w:val="center"/>
              <w:rPr>
                <w:b w:val="1"/>
                <w:color w:themeColor="background1" w:val="FFFFFF"/>
              </w:rPr>
            </w:pPr>
            <w:r>
              <w:rPr>
                <w:b w:val="1"/>
                <w:color w:themeColor="background1" w:val="FFFFFF"/>
              </w:rPr>
              <w:t>3</w:t>
            </w:r>
          </w:p>
        </w:tc>
        <w:tc>
          <w:tcPr>
            <w:tcW w:type="dxa" w:w="1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1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1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1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vAlign w:val="center"/>
          </w:tcPr>
          <w:p w14:paraId="07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hRule="atLeast" w:val="50"/>
        </w:trPr>
        <w:tc>
          <w:tcPr>
            <w:tcW w:type="dxa" w:w="18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/>
        </w:tc>
        <w:tc>
          <w:tcPr>
            <w:tcW w:type="dxa" w:w="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08010000">
            <w:pPr>
              <w:ind/>
              <w:jc w:val="center"/>
              <w:rPr>
                <w:b w:val="1"/>
                <w:color w:themeColor="background1" w:val="FFFFFF"/>
              </w:rPr>
            </w:pPr>
            <w:r>
              <w:rPr>
                <w:b w:val="1"/>
                <w:color w:themeColor="background1" w:val="FFFFFF"/>
              </w:rPr>
              <w:t>4</w:t>
            </w:r>
          </w:p>
        </w:tc>
        <w:tc>
          <w:tcPr>
            <w:tcW w:type="dxa" w:w="1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vAlign w:val="center"/>
          </w:tcPr>
          <w:p w14:paraId="0C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hRule="atLeast" w:val="50"/>
        </w:trPr>
        <w:tc>
          <w:tcPr>
            <w:tcW w:type="dxa" w:w="18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/>
        </w:tc>
        <w:tc>
          <w:tcPr>
            <w:tcW w:type="dxa" w:w="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0D010000">
            <w:pPr>
              <w:ind/>
              <w:jc w:val="center"/>
              <w:rPr>
                <w:b w:val="1"/>
                <w:color w:themeColor="background1" w:val="FFFFFF"/>
              </w:rPr>
            </w:pPr>
            <w:r>
              <w:rPr>
                <w:b w:val="1"/>
                <w:color w:themeColor="background1" w:val="FFFFFF"/>
              </w:rPr>
              <w:t>5</w:t>
            </w:r>
          </w:p>
        </w:tc>
        <w:tc>
          <w:tcPr>
            <w:tcW w:type="dxa" w:w="1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type="dxa" w:w="1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type="dxa" w:w="1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type="dxa" w:w="1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vAlign w:val="center"/>
          </w:tcPr>
          <w:p w14:paraId="11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50"/>
        </w:trPr>
        <w:tc>
          <w:tcPr>
            <w:tcW w:type="dxa" w:w="22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  <w:vAlign w:val="center"/>
          </w:tcPr>
          <w:p w14:paraId="12010000">
            <w:pPr>
              <w:ind/>
              <w:jc w:val="center"/>
            </w:pPr>
            <w:r>
              <w:rPr>
                <w:b w:val="1"/>
              </w:rPr>
              <w:t>Итого баллов за критерий/модуль</w:t>
            </w:r>
          </w:p>
        </w:tc>
        <w:tc>
          <w:tcPr>
            <w:tcW w:type="dxa" w:w="17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vAlign w:val="center"/>
          </w:tcPr>
          <w:p w14:paraId="13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z w:val="24"/>
              </w:rPr>
              <w:t>,0</w:t>
            </w:r>
          </w:p>
        </w:tc>
        <w:tc>
          <w:tcPr>
            <w:tcW w:type="dxa" w:w="1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vAlign w:val="center"/>
          </w:tcPr>
          <w:p w14:paraId="14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34,0</w:t>
            </w:r>
          </w:p>
        </w:tc>
        <w:tc>
          <w:tcPr>
            <w:tcW w:type="dxa" w:w="1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vAlign w:val="center"/>
          </w:tcPr>
          <w:p w14:paraId="15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type="dxa" w:w="18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themeFillShade="F2" w:val="clear"/>
            <w:vAlign w:val="center"/>
          </w:tcPr>
          <w:p w14:paraId="1601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100</w:t>
            </w:r>
          </w:p>
        </w:tc>
      </w:tr>
    </w:tbl>
    <w:p w14:paraId="17010000">
      <w:pPr>
        <w:keepNext w:val="1"/>
        <w:spacing w:after="0" w:line="240" w:lineRule="auto"/>
        <w:ind/>
        <w:outlineLvl w:val="1"/>
        <w:rPr>
          <w:rFonts w:ascii="Times New Roman" w:hAnsi="Times New Roman"/>
          <w:b w:val="1"/>
          <w:sz w:val="28"/>
        </w:rPr>
      </w:pPr>
    </w:p>
    <w:p w14:paraId="18010000">
      <w:bookmarkStart w:id="6" w:name="__RefHeading___5"/>
      <w:bookmarkEnd w:id="6"/>
      <w:pPr>
        <w:keepNext w:val="1"/>
        <w:spacing w:after="0" w:line="240" w:lineRule="auto"/>
        <w:ind w:firstLine="709" w:left="0"/>
        <w:jc w:val="both"/>
        <w:outlineLvl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1.4. СПЕЦИФИКАЦИЯ ОЦЕНКИ КОМПЕТЕНЦИИ</w:t>
      </w:r>
    </w:p>
    <w:p w14:paraId="19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Конкурсного задания будет основываться на критериях, указанных в таблице №3:</w:t>
      </w:r>
    </w:p>
    <w:p w14:paraId="1A010000">
      <w:pPr>
        <w:spacing w:after="0" w:line="240" w:lineRule="auto"/>
        <w:ind w:firstLine="709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№3</w:t>
      </w:r>
    </w:p>
    <w:p w14:paraId="1B01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Оценка конкурсного задания</w:t>
      </w:r>
    </w:p>
    <w:tbl>
      <w:tblPr>
        <w:tblStyle w:val="Style_2"/>
        <w:tblW w:type="auto" w:w="0"/>
        <w:tblLayout w:type="fixed"/>
      </w:tblPr>
      <w:tblGrid>
        <w:gridCol w:w="543"/>
        <w:gridCol w:w="3022"/>
        <w:gridCol w:w="6064"/>
      </w:tblGrid>
      <w:tr>
        <w:tc>
          <w:tcPr>
            <w:tcW w:type="dxa" w:w="356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</w:tcPr>
          <w:p w14:paraId="1C01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Критерий</w:t>
            </w:r>
          </w:p>
        </w:tc>
        <w:tc>
          <w:tcPr>
            <w:tcW w:type="dxa" w:w="6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</w:tcPr>
          <w:p w14:paraId="1D01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Методика проверки навыков в критерии</w:t>
            </w:r>
          </w:p>
        </w:tc>
      </w:tr>
      <w:tr>
        <w:tc>
          <w:tcPr>
            <w:tcW w:type="dxa" w:w="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</w:tcPr>
          <w:p w14:paraId="1E010000">
            <w:pPr>
              <w:ind/>
              <w:jc w:val="center"/>
              <w:rPr>
                <w:b w:val="1"/>
                <w:color w:themeColor="background1" w:val="FFFFFF"/>
                <w:sz w:val="24"/>
              </w:rPr>
            </w:pPr>
            <w:r>
              <w:rPr>
                <w:b w:val="1"/>
                <w:color w:themeColor="background1" w:val="FFFFFF"/>
                <w:sz w:val="24"/>
              </w:rPr>
              <w:t>А</w:t>
            </w:r>
          </w:p>
        </w:tc>
        <w:tc>
          <w:tcPr>
            <w:tcW w:type="dxa" w:w="3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</w:tcPr>
          <w:p w14:paraId="1F01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Работа с чертежом, изготовление и контроль детали из материала Сталь 45.</w:t>
            </w:r>
          </w:p>
        </w:tc>
        <w:tc>
          <w:tcPr>
            <w:tcW w:type="dxa" w:w="6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группа оценивает:  </w:t>
            </w:r>
          </w:p>
          <w:p w14:paraId="21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организацию рабочего места, то, как конкурсант организовал свое рабочее пространство,  </w:t>
            </w:r>
          </w:p>
          <w:p w14:paraId="22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внешний вид детали, имеются ли повреждения поверхности детали,  </w:t>
            </w:r>
          </w:p>
          <w:p w14:paraId="23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производит измерение детали, насколько точно конкурсант выполнил задание согласно чертежу.  </w:t>
            </w:r>
          </w:p>
          <w:p w14:paraId="24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оценивает наличие элементов и чистоту поверхность (шероховатость), сделал ли конкурсант тот или иной </w:t>
            </w:r>
          </w:p>
          <w:p w14:paraId="25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элемент и выполнил ли условия согласно чертежу. </w:t>
            </w:r>
          </w:p>
        </w:tc>
      </w:tr>
      <w:tr>
        <w:tc>
          <w:tcPr>
            <w:tcW w:type="dxa" w:w="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</w:tcPr>
          <w:p w14:paraId="26010000">
            <w:pPr>
              <w:ind/>
              <w:jc w:val="center"/>
              <w:rPr>
                <w:b w:val="1"/>
                <w:color w:themeColor="background1" w:val="FFFFFF"/>
                <w:sz w:val="24"/>
              </w:rPr>
            </w:pPr>
            <w:r>
              <w:rPr>
                <w:b w:val="1"/>
                <w:color w:themeColor="background1" w:val="FFFFFF"/>
                <w:sz w:val="24"/>
              </w:rPr>
              <w:t>Б</w:t>
            </w:r>
          </w:p>
        </w:tc>
        <w:tc>
          <w:tcPr>
            <w:tcW w:type="dxa" w:w="3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</w:tcPr>
          <w:p w14:paraId="2701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Работа с чертежом, изготовление и контроль детали из материала Алюминий Д16Т.</w:t>
            </w:r>
          </w:p>
        </w:tc>
        <w:tc>
          <w:tcPr>
            <w:tcW w:type="dxa" w:w="6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группа оценивает:  </w:t>
            </w:r>
          </w:p>
          <w:p w14:paraId="29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организацию рабочего места, то, как конкурсант организовал свое рабочее пространство,  </w:t>
            </w:r>
          </w:p>
          <w:p w14:paraId="2A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внешний вид детали, имеются ли повреждения поверхности детали,  </w:t>
            </w:r>
          </w:p>
          <w:p w14:paraId="2B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производит измерение детали, насколько точно конкурсант выполнил задание согласно чертежу.  </w:t>
            </w:r>
          </w:p>
          <w:p w14:paraId="2C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- оценивает наличие элементов и чистоту поверхность (шероховатость), сделал ли конкурсант тот или иной элемент и выполнил ли условия согласно чертежу.</w:t>
            </w:r>
          </w:p>
        </w:tc>
      </w:tr>
      <w:tr>
        <w:tc>
          <w:tcPr>
            <w:tcW w:type="dxa" w:w="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B050" w:val="clear"/>
          </w:tcPr>
          <w:p w14:paraId="2D010000">
            <w:pPr>
              <w:ind/>
              <w:jc w:val="center"/>
              <w:rPr>
                <w:b w:val="1"/>
                <w:color w:themeColor="background1" w:val="FFFFFF"/>
                <w:sz w:val="24"/>
              </w:rPr>
            </w:pPr>
            <w:r>
              <w:rPr>
                <w:b w:val="1"/>
                <w:color w:themeColor="background1" w:val="FFFFFF"/>
                <w:sz w:val="24"/>
              </w:rPr>
              <w:t>В</w:t>
            </w:r>
          </w:p>
        </w:tc>
        <w:tc>
          <w:tcPr>
            <w:tcW w:type="dxa" w:w="3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</w:tcPr>
          <w:p w14:paraId="2E01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Работа с чертежом, изготовление и контроль детали из материала Латунь ЛС59.</w:t>
            </w:r>
          </w:p>
        </w:tc>
        <w:tc>
          <w:tcPr>
            <w:tcW w:type="dxa" w:w="60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группа оценивает:  </w:t>
            </w:r>
          </w:p>
          <w:p w14:paraId="30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организацию рабочего места, то, как конкурсант организовал свое рабочее пространство,  </w:t>
            </w:r>
          </w:p>
          <w:p w14:paraId="31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внешний вид детали, имеются ли повреждения поверхности детали,  </w:t>
            </w:r>
          </w:p>
          <w:p w14:paraId="32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производит измерение детали, насколько точно конкурсант выполнил задание согласно чертежу.  </w:t>
            </w:r>
          </w:p>
          <w:p w14:paraId="33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- оценивает наличие элементов и чистоту поверхность (шероховатость), сделал ли конкурсант тот или иной элемент и выполнил ли условия согласно чертежу.</w:t>
            </w:r>
          </w:p>
        </w:tc>
      </w:tr>
    </w:tbl>
    <w:p w14:paraId="34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35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1.5. КОНКУРСНОЕ ЗАДАНИЕ</w:t>
      </w:r>
    </w:p>
    <w:p w14:paraId="3601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Возрастной ценз: 14 – 16 лет</w:t>
      </w:r>
    </w:p>
    <w:p w14:paraId="3701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Общая продолжительность Конкурсного задания</w:t>
      </w:r>
      <w:r>
        <w:rPr>
          <w:rFonts w:ascii="Times New Roman" w:hAnsi="Times New Roman"/>
          <w:color w:val="000000"/>
          <w:sz w:val="28"/>
          <w:vertAlign w:val="superscript"/>
        </w:rPr>
        <w:footnoteReference w:id="1"/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  <w:u w:val="single"/>
        </w:rPr>
        <w:t>12</w:t>
      </w:r>
      <w:r>
        <w:rPr>
          <w:rFonts w:ascii="Times New Roman" w:hAnsi="Times New Roman"/>
          <w:color w:val="000000"/>
          <w:sz w:val="28"/>
        </w:rPr>
        <w:t xml:space="preserve"> ч.</w:t>
      </w:r>
    </w:p>
    <w:p w14:paraId="3801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Количество конкурсных дней: </w:t>
      </w:r>
      <w:r>
        <w:rPr>
          <w:rFonts w:ascii="Times New Roman" w:hAnsi="Times New Roman"/>
          <w:color w:val="000000"/>
          <w:sz w:val="28"/>
          <w:u w:val="single"/>
        </w:rPr>
        <w:t>3</w:t>
      </w:r>
      <w:r>
        <w:rPr>
          <w:rFonts w:ascii="Times New Roman" w:hAnsi="Times New Roman"/>
          <w:color w:val="000000"/>
          <w:sz w:val="28"/>
        </w:rPr>
        <w:t xml:space="preserve"> дня.</w:t>
      </w:r>
    </w:p>
    <w:p w14:paraId="39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3A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3B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Ссылка на яндекс диск </w:t>
      </w:r>
      <w:r>
        <w:rPr>
          <w:rFonts w:ascii="Times New Roman" w:hAnsi="Times New Roman"/>
          <w:color w:val="0000FF"/>
          <w:u w:val="single"/>
        </w:rPr>
        <w:fldChar w:fldCharType="begin"/>
      </w:r>
      <w:r>
        <w:rPr>
          <w:rFonts w:ascii="Times New Roman" w:hAnsi="Times New Roman"/>
          <w:color w:val="0000FF"/>
          <w:u w:val="single"/>
        </w:rPr>
        <w:instrText>HYPERLINK "https://disk.yandex.ru/d/vDwCSsA_-luiCg"</w:instrText>
      </w:r>
      <w:r>
        <w:rPr>
          <w:rFonts w:ascii="Times New Roman" w:hAnsi="Times New Roman"/>
          <w:color w:val="0000FF"/>
          <w:u w:val="single"/>
        </w:rPr>
        <w:fldChar w:fldCharType="separate"/>
      </w:r>
      <w:r>
        <w:rPr>
          <w:rFonts w:ascii="Times New Roman" w:hAnsi="Times New Roman"/>
          <w:color w:val="0000FF"/>
          <w:u w:val="single"/>
        </w:rPr>
        <w:t>https://disk.yandex.ru/d/vDwCSsA_-luiCg</w:t>
      </w:r>
      <w:r>
        <w:rPr>
          <w:rFonts w:ascii="Times New Roman" w:hAnsi="Times New Roman"/>
          <w:color w:val="0000FF"/>
          <w:u w:val="single"/>
        </w:rPr>
        <w:fldChar w:fldCharType="end"/>
      </w:r>
      <w:r>
        <w:rPr>
          <w:rFonts w:ascii="Times New Roman" w:hAnsi="Times New Roman"/>
          <w:sz w:val="28"/>
        </w:rPr>
        <w:t xml:space="preserve"> </w:t>
      </w:r>
    </w:p>
    <w:p w14:paraId="3C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1.5.1. Разработка/выбор конкурсного задания</w:t>
      </w:r>
    </w:p>
    <w:p w14:paraId="3D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Конкурсное задание состоит из 3 модулей, включает обязательную к выполнению часть (инвариант) – 3 модулей. Общее количество баллов конкурсного задания составляет 100.</w:t>
      </w:r>
    </w:p>
    <w:p w14:paraId="3E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3F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Количество модулей из вариативной части, выбирается регионом самостоятельно в зависимости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 xml:space="preserve">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hAnsi="Times New Roman"/>
          <w:sz w:val="28"/>
        </w:rPr>
        <w:t>й (е)</w:t>
      </w:r>
      <w:r>
        <w:rPr>
          <w:rFonts w:ascii="Times New Roman" w:hAnsi="Times New Roman"/>
          <w:sz w:val="28"/>
        </w:rPr>
        <w:t xml:space="preserve"> модул</w:t>
      </w:r>
      <w:r>
        <w:rPr>
          <w:rFonts w:ascii="Times New Roman" w:hAnsi="Times New Roman"/>
          <w:sz w:val="28"/>
        </w:rPr>
        <w:t>ь (и)</w:t>
      </w:r>
      <w:r>
        <w:rPr>
          <w:rFonts w:ascii="Times New Roman" w:hAnsi="Times New Roman"/>
          <w:sz w:val="28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hAnsi="Times New Roman"/>
          <w:sz w:val="28"/>
        </w:rPr>
        <w:t xml:space="preserve">время на выполнение модуля (ей) и </w:t>
      </w:r>
      <w:r>
        <w:rPr>
          <w:rFonts w:ascii="Times New Roman" w:hAnsi="Times New Roman"/>
          <w:sz w:val="28"/>
        </w:rPr>
        <w:t>количество баллов в критериях оценки по аспектам не меня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>тся</w:t>
      </w:r>
      <w:r>
        <w:rPr>
          <w:rFonts w:ascii="Times New Roman" w:hAnsi="Times New Roman"/>
          <w:sz w:val="28"/>
        </w:rPr>
        <w:t xml:space="preserve"> (Приложение 3. Матрица конкурсного задания)</w:t>
      </w:r>
      <w:r>
        <w:rPr>
          <w:rFonts w:ascii="Times New Roman" w:hAnsi="Times New Roman"/>
          <w:sz w:val="28"/>
        </w:rPr>
        <w:t>.</w:t>
      </w:r>
    </w:p>
    <w:p w14:paraId="4001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№4</w:t>
      </w:r>
    </w:p>
    <w:p w14:paraId="41010000">
      <w:pPr>
        <w:spacing w:after="0" w:line="240" w:lineRule="auto"/>
        <w:ind w:firstLine="851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Матрица конкурсного задания</w:t>
      </w:r>
    </w:p>
    <w:tbl>
      <w:tblPr>
        <w:tblStyle w:val="Style_2"/>
        <w:tblW w:type="auto" w:w="0"/>
        <w:tblLayout w:type="fixed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>
        <w:trPr>
          <w:trHeight w:hRule="atLeast" w:val="1125"/>
        </w:trPr>
        <w:tc>
          <w:tcPr>
            <w:tcW w:type="dxa" w:w="1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Обобщенная трудовая функция</w:t>
            </w:r>
          </w:p>
        </w:tc>
        <w:tc>
          <w:tcPr>
            <w:tcW w:type="dxa" w:w="14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Трудовая функция</w:t>
            </w:r>
          </w:p>
        </w:tc>
        <w:tc>
          <w:tcPr>
            <w:tcW w:type="dxa" w:w="1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Нормативный документ/ЗУН</w:t>
            </w:r>
          </w:p>
        </w:tc>
        <w:tc>
          <w:tcPr>
            <w:tcW w:type="dxa" w:w="1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Модуль</w:t>
            </w:r>
          </w:p>
        </w:tc>
        <w:tc>
          <w:tcPr>
            <w:tcW w:type="dxa" w:w="23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Константа/вариатив</w:t>
            </w:r>
          </w:p>
        </w:tc>
        <w:tc>
          <w:tcPr>
            <w:tcW w:type="dxa" w:w="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ИЛ</w:t>
            </w:r>
          </w:p>
        </w:tc>
        <w:tc>
          <w:tcPr>
            <w:tcW w:type="dxa" w:w="6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КО</w:t>
            </w:r>
          </w:p>
        </w:tc>
      </w:tr>
      <w:tr>
        <w:trPr>
          <w:trHeight w:hRule="atLeast" w:val="1125"/>
        </w:trPr>
        <w:tc>
          <w:tcPr>
            <w:tcW w:type="dxa" w:w="1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</w:t>
            </w:r>
          </w:p>
        </w:tc>
        <w:tc>
          <w:tcPr>
            <w:tcW w:type="dxa" w:w="14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</w:p>
        </w:tc>
        <w:tc>
          <w:tcPr>
            <w:tcW w:type="dxa" w:w="1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</w:t>
            </w:r>
          </w:p>
        </w:tc>
        <w:tc>
          <w:tcPr>
            <w:tcW w:type="dxa" w:w="1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</w:t>
            </w:r>
          </w:p>
        </w:tc>
        <w:tc>
          <w:tcPr>
            <w:tcW w:type="dxa" w:w="23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</w:t>
            </w:r>
          </w:p>
        </w:tc>
        <w:tc>
          <w:tcPr>
            <w:tcW w:type="dxa" w:w="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</w:t>
            </w:r>
          </w:p>
        </w:tc>
        <w:tc>
          <w:tcPr>
            <w:tcW w:type="dxa" w:w="6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10000">
            <w:pPr>
              <w:ind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</w:t>
            </w:r>
          </w:p>
        </w:tc>
      </w:tr>
    </w:tbl>
    <w:p w14:paraId="50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51010000">
      <w:bookmarkStart w:id="7" w:name="__RefHeading___6"/>
      <w:bookmarkEnd w:id="7"/>
      <w:pPr>
        <w:keepNext w:val="1"/>
        <w:spacing w:after="0" w:line="240" w:lineRule="auto"/>
        <w:ind w:firstLine="709" w:left="0"/>
        <w:jc w:val="both"/>
        <w:outlineLvl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1.5.2. Структура модулей конкурсного задания </w:t>
      </w:r>
      <w:r>
        <w:rPr>
          <w:rFonts w:ascii="Times New Roman" w:hAnsi="Times New Roman"/>
          <w:b w:val="1"/>
          <w:color w:val="000000"/>
          <w:sz w:val="28"/>
        </w:rPr>
        <w:t>(инвариант)</w:t>
      </w:r>
    </w:p>
    <w:p w14:paraId="5201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>Модуль А.</w:t>
      </w:r>
      <w:r>
        <w:rPr>
          <w:rFonts w:ascii="Times New Roman" w:hAnsi="Times New Roman"/>
          <w:b w:val="1"/>
          <w:color w:val="000000"/>
          <w:sz w:val="28"/>
        </w:rPr>
        <w:t xml:space="preserve">  Работа с чертежом, изготовление и контроль детали из материала Сталь 45 </w:t>
      </w:r>
    </w:p>
    <w:p w14:paraId="53010000">
      <w:pPr>
        <w:spacing w:after="0" w:line="240" w:lineRule="auto"/>
        <w:ind/>
        <w:contextualSpacing w:val="1"/>
        <w:jc w:val="both"/>
        <w:rPr>
          <w:rFonts w:ascii="Times New Roman" w:hAnsi="Times New Roman"/>
        </w:rPr>
      </w:pPr>
      <w:r>
        <w:rPr>
          <w:rFonts w:ascii="Times New Roman" w:hAnsi="Times New Roman"/>
          <w:b w:val="1"/>
          <w:sz w:val="28"/>
        </w:rPr>
        <w:t xml:space="preserve">Время на выполнение модуля: 4 часа </w:t>
      </w:r>
    </w:p>
    <w:p w14:paraId="54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Участнику выдается чертеж модуля A (Приложение 1) и таблица допусков и посадок (Приложение 6), необходимо прочитать чертеж, на чертеже проставить допуска на размеры с полями допусков, затем необходимо изготовить деталь из материала Сталь 45 на токарном станке, согласно чертежу (Приложение 1). По мере изготовления или после завершения обработки, произвести контроль выполненных размеров с занесением в Карту контроля (Приложение 4). </w:t>
      </w:r>
    </w:p>
    <w:p w14:paraId="55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Используя режущий инструмент необходимо выполнить следующие виды работ:</w:t>
      </w:r>
    </w:p>
    <w:p w14:paraId="56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проточить наружные диаметры согласно чертежу; </w:t>
      </w:r>
    </w:p>
    <w:p w14:paraId="57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выполнить элементы канавок; </w:t>
      </w:r>
    </w:p>
    <w:p w14:paraId="58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нарезать наружную резьбу; </w:t>
      </w:r>
    </w:p>
    <w:p w14:paraId="59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проточить внутренние диаметры согласно чертежу;</w:t>
      </w:r>
    </w:p>
    <w:p w14:paraId="5A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выполнении модуля участник самостоятельно принимает решение об изготовлении оправки для полноценного и безопасного изготовления детали. Материал для изготовления оправки: пруток из стали 45. </w:t>
      </w:r>
    </w:p>
    <w:p w14:paraId="5B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Участнику выдается сборочный чертеж (См. Приложение 5) для понимания итоговой работы.</w:t>
      </w:r>
    </w:p>
    <w:p w14:paraId="5C01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>Модуль Б.</w:t>
      </w:r>
      <w:r>
        <w:rPr>
          <w:rFonts w:ascii="Times New Roman" w:hAnsi="Times New Roman"/>
          <w:b w:val="1"/>
          <w:color w:val="000000"/>
          <w:sz w:val="28"/>
        </w:rPr>
        <w:t xml:space="preserve">  Работа с чертежом, изготовление и контроль детали из материала Алюминий Д16Т</w:t>
      </w:r>
    </w:p>
    <w:p w14:paraId="5D01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Время на выполнение модуля: 4 часа</w:t>
      </w:r>
    </w:p>
    <w:p w14:paraId="5E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Участнику выдается чертеж модуля Б (Приложение 2) и таблица допусков и посадок (Приложение 6), необходимо прочитать чертеж, на чертеже проставить допуска на размеры с полями допусков, затем необходимо изготовить деталь из материала Алюминий Д16Т на токарном станке, согласно чертежу (Приложение 2). По мере изготовления или после завершения обработки, произвести контроль выполненных размеров с занесением в Карту контроля (Приложение 4).</w:t>
      </w:r>
    </w:p>
    <w:p w14:paraId="5F01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Используя режущий инструмент необходимо выполнить следующие виды работ:</w:t>
      </w:r>
    </w:p>
    <w:p w14:paraId="6001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проточить наружные диаметры согласно чертежу; </w:t>
      </w:r>
    </w:p>
    <w:p w14:paraId="6101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выполнить элементы канавок; </w:t>
      </w:r>
    </w:p>
    <w:p w14:paraId="6201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нарезать внутреннюю резьбу; </w:t>
      </w:r>
    </w:p>
    <w:p w14:paraId="6301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проточить внутренние диаметры согласно чертежу;</w:t>
      </w:r>
    </w:p>
    <w:p w14:paraId="64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выполнении модуля участник самостоятельно принимает решение об изготовлении оправки для полноценного и безопасного изготовления детали. Материал для изготовления оправки: пруток из стали 45.</w:t>
      </w:r>
    </w:p>
    <w:p w14:paraId="65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Участнику выдается сборочный чертеж (См. Приложение 5) для понимания итоговой работы.</w:t>
      </w:r>
    </w:p>
    <w:p w14:paraId="6601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>Модуль В.</w:t>
      </w:r>
      <w:r>
        <w:rPr>
          <w:rFonts w:ascii="Times New Roman" w:hAnsi="Times New Roman"/>
          <w:b w:val="1"/>
          <w:color w:val="000000"/>
          <w:sz w:val="28"/>
        </w:rPr>
        <w:t xml:space="preserve">  Работа с чертежом, изготовление и контроль детали из материала Латунь ЛС59.</w:t>
      </w:r>
    </w:p>
    <w:p w14:paraId="6701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Время на выполнение модуля: 4 часа</w:t>
      </w:r>
    </w:p>
    <w:p w14:paraId="68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Участнику выдается чертеж модуля C (Приложение 3) и таблица допусков и посадок (Приложение 6), необходимо прочитать чертеж, на чертеже проставить допуска на размеры с полями допусков, затем необходимо изготовить деталь из материала ЛС59 на токарном станке, согласно чертежу (Приложение 3). По мере изготовления или после завершения обработки, произвести контроль выполненных размеров с занесением в Карту контроля (Приложение 4).</w:t>
      </w:r>
    </w:p>
    <w:p w14:paraId="69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Используя режущий инструмент необходимо выполнить следующие виды работ:</w:t>
      </w:r>
    </w:p>
    <w:p w14:paraId="6A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проточить наружные диаметры согласно чертежу; </w:t>
      </w:r>
    </w:p>
    <w:p w14:paraId="6B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выполнить элементы канавок; </w:t>
      </w:r>
    </w:p>
    <w:p w14:paraId="6C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нарезать наружную резьбу; </w:t>
      </w:r>
    </w:p>
    <w:p w14:paraId="6D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проточить внутренние диаметры согласно чертежу;</w:t>
      </w:r>
    </w:p>
    <w:p w14:paraId="6E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выполнении модуля участник самостоятельно принимает решение об изготовлении оправки для полноценного и безопасного изготовления детали. Материал для изготовления оправки: пруток из стали 45.</w:t>
      </w:r>
    </w:p>
    <w:p w14:paraId="6F01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Участнику выдается сборочный чертеж (См. Приложение 5) для понимания итоговой работы. </w:t>
      </w:r>
    </w:p>
    <w:p w14:paraId="70010000">
      <w:bookmarkStart w:id="8" w:name="__RefHeading___7"/>
      <w:bookmarkEnd w:id="8"/>
      <w:pPr>
        <w:keepNext w:val="1"/>
        <w:spacing w:after="0" w:before="240" w:line="240" w:lineRule="auto"/>
        <w:ind w:firstLine="709" w:left="0"/>
        <w:jc w:val="center"/>
        <w:outlineLvl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4"/>
        </w:rPr>
        <w:t>2. СПЕЦИАЛЬНЫЕ ПРАВИЛА КОМПЕТЕНЦИИ</w:t>
      </w:r>
      <w:r>
        <w:rPr>
          <w:rFonts w:ascii="Times New Roman" w:hAnsi="Times New Roman"/>
          <w:b w:val="1"/>
          <w:i w:val="1"/>
          <w:color w:val="000000"/>
          <w:sz w:val="28"/>
          <w:vertAlign w:val="superscript"/>
        </w:rPr>
        <w:footnoteReference w:id="2"/>
      </w:r>
    </w:p>
    <w:p w14:paraId="71010000">
      <w:bookmarkStart w:id="9" w:name="__RefHeading___8"/>
      <w:bookmarkEnd w:id="9"/>
      <w:pPr>
        <w:keepNext w:val="1"/>
        <w:spacing w:after="0" w:line="240" w:lineRule="auto"/>
        <w:ind w:firstLine="709" w:left="0"/>
        <w:jc w:val="both"/>
        <w:outlineLvl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2.1. </w:t>
      </w:r>
      <w:r>
        <w:rPr>
          <w:rFonts w:ascii="Times New Roman" w:hAnsi="Times New Roman"/>
          <w:b w:val="1"/>
          <w:sz w:val="28"/>
        </w:rPr>
        <w:t xml:space="preserve">Материалы, оборудование и инструменты в </w:t>
      </w:r>
      <w:r>
        <w:rPr>
          <w:rFonts w:ascii="Times New Roman" w:hAnsi="Times New Roman"/>
          <w:b w:val="1"/>
          <w:sz w:val="28"/>
        </w:rPr>
        <w:t xml:space="preserve">Инструментальном ящике </w:t>
      </w:r>
    </w:p>
    <w:p w14:paraId="72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Тип инструментального ящика: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определенный</w:t>
      </w:r>
      <w:r>
        <w:rPr>
          <w:rFonts w:ascii="Times New Roman" w:hAnsi="Times New Roman"/>
          <w:sz w:val="28"/>
        </w:rPr>
        <w:t xml:space="preserve">. </w:t>
      </w:r>
    </w:p>
    <w:p w14:paraId="73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Конкурсант обязан привезти на площадку специальную одежду: кепку без логотипа предприятия изготовителя, рабочий костюм без логотипа предприятия изготовителя, ботинки. </w:t>
      </w:r>
    </w:p>
    <w:p w14:paraId="74010000">
      <w:pPr>
        <w:keepNext w:val="1"/>
        <w:spacing w:after="0" w:before="120" w:line="240" w:lineRule="auto"/>
        <w:ind w:firstLine="709" w:left="0"/>
        <w:outlineLvl w:val="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2.2.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Материалы, оборудование и инструменты, запрещенные на площадке</w:t>
      </w:r>
    </w:p>
    <w:p w14:paraId="75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привозить инструмент, приспособления, оснастку, не указанные в инфраструктурном листе и не прописанные в разделе «Личный инструмент конкурсанта».</w:t>
      </w:r>
    </w:p>
    <w:p w14:paraId="76010000">
      <w:bookmarkStart w:id="10" w:name="__RefHeading___9"/>
      <w:bookmarkEnd w:id="10"/>
      <w:pPr>
        <w:keepNext w:val="1"/>
        <w:spacing w:after="0" w:before="240" w:line="240" w:lineRule="auto"/>
        <w:ind w:firstLine="709" w:left="0"/>
        <w:jc w:val="center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3. </w:t>
      </w:r>
      <w:r>
        <w:rPr>
          <w:rFonts w:ascii="Times New Roman" w:hAnsi="Times New Roman"/>
          <w:b w:val="1"/>
          <w:sz w:val="24"/>
        </w:rPr>
        <w:t>ПРИЛОЖЕНИЯ</w:t>
      </w:r>
    </w:p>
    <w:p w14:paraId="77010000">
      <w:pPr>
        <w:tabs>
          <w:tab w:leader="none" w:pos="9354" w:val="righ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1. Чертеж Модуля А.</w:t>
      </w:r>
    </w:p>
    <w:p w14:paraId="78010000">
      <w:pPr>
        <w:tabs>
          <w:tab w:leader="none" w:pos="9354" w:val="righ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2. Чертеж Модуля Б.</w:t>
      </w:r>
    </w:p>
    <w:p w14:paraId="79010000">
      <w:pPr>
        <w:tabs>
          <w:tab w:leader="none" w:pos="9354" w:val="righ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3. Чертеж Модуля В.</w:t>
      </w:r>
    </w:p>
    <w:p w14:paraId="7A010000">
      <w:pPr>
        <w:tabs>
          <w:tab w:leader="none" w:pos="9354" w:val="righ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Приложение 4. </w:t>
      </w:r>
      <w:r>
        <w:rPr>
          <w:rFonts w:ascii="Times New Roman" w:hAnsi="Times New Roman"/>
          <w:b w:val="1"/>
          <w:sz w:val="28"/>
        </w:rPr>
        <w:t>Сборочный чертеж.</w:t>
      </w:r>
    </w:p>
    <w:p w14:paraId="7B010000">
      <w:pPr>
        <w:tabs>
          <w:tab w:leader="none" w:pos="9354" w:val="righ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Приложение 5. </w:t>
      </w:r>
      <w:r>
        <w:rPr>
          <w:rFonts w:ascii="Times New Roman" w:hAnsi="Times New Roman"/>
          <w:b w:val="1"/>
          <w:sz w:val="28"/>
        </w:rPr>
        <w:t>Карта контроля.</w:t>
      </w:r>
    </w:p>
    <w:p w14:paraId="7C010000">
      <w:pPr>
        <w:tabs>
          <w:tab w:leader="none" w:pos="9354" w:val="righ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6. Таблица допусков.</w:t>
      </w:r>
    </w:p>
    <w:p w14:paraId="7D010000">
      <w:pPr>
        <w:tabs>
          <w:tab w:leader="none" w:pos="9354" w:val="righ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7E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7F010000">
      <w:pPr>
        <w:tabs>
          <w:tab w:leader="none" w:pos="9354" w:val="right"/>
        </w:tabs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</w:p>
    <w:p w14:paraId="80010000">
      <w:pPr>
        <w:tabs>
          <w:tab w:leader="none" w:pos="9354" w:val="right"/>
        </w:tabs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1</w:t>
      </w:r>
    </w:p>
    <w:p w14:paraId="81010000">
      <w:pPr>
        <w:tabs>
          <w:tab w:leader="none" w:pos="9354" w:val="righ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Чертеж Модуля А</w:t>
      </w:r>
    </w:p>
    <w:p w14:paraId="82010000">
      <w:pPr>
        <w:tabs>
          <w:tab w:leader="none" w:pos="9354" w:val="righ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5865471" cy="828675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865471" cy="8286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3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84010000">
      <w:pPr>
        <w:tabs>
          <w:tab w:leader="none" w:pos="9354" w:val="right"/>
        </w:tabs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2</w:t>
      </w:r>
    </w:p>
    <w:p w14:paraId="85010000">
      <w:pPr>
        <w:tabs>
          <w:tab w:leader="none" w:pos="9354" w:val="righ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Чертеж Модуля Б</w:t>
      </w:r>
    </w:p>
    <w:p w14:paraId="86010000">
      <w:pPr>
        <w:tabs>
          <w:tab w:leader="none" w:pos="9354" w:val="righ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6120765" cy="433260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120765" cy="43326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7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88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89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8A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8B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8C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8D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8E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8F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90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91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92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93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94010000">
      <w:pPr>
        <w:tabs>
          <w:tab w:leader="none" w:pos="9354" w:val="right"/>
        </w:tabs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95010000">
      <w:pPr>
        <w:tabs>
          <w:tab w:leader="none" w:pos="9354" w:val="right"/>
        </w:tabs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3</w:t>
      </w:r>
    </w:p>
    <w:p w14:paraId="96010000">
      <w:pPr>
        <w:tabs>
          <w:tab w:leader="none" w:pos="9354" w:val="righ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Чертеж Модуля В</w:t>
      </w:r>
    </w:p>
    <w:p w14:paraId="97010000">
      <w:pPr>
        <w:tabs>
          <w:tab w:leader="none" w:pos="9354" w:val="righ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6120765" cy="433260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20765" cy="43326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8010000">
      <w:pPr>
        <w:spacing w:after="0" w:line="36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9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9A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9B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9C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9D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9E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9F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0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1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2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3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4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5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6010000">
      <w:pPr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4</w:t>
      </w:r>
    </w:p>
    <w:p w14:paraId="A7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Сборочный чертеж</w:t>
      </w:r>
    </w:p>
    <w:p w14:paraId="A8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6120765" cy="4332605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120765" cy="43326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9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A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B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C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D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E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F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0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1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2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3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4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5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6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7010000">
      <w:pPr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5</w:t>
      </w:r>
    </w:p>
    <w:p w14:paraId="B8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Карта контроля.</w:t>
      </w:r>
    </w:p>
    <w:tbl>
      <w:tblPr>
        <w:tblStyle w:val="Style_2"/>
        <w:tblW w:type="auto" w:w="0"/>
        <w:tblLayout w:type="fixed"/>
      </w:tblPr>
      <w:tblGrid>
        <w:gridCol w:w="1129"/>
        <w:gridCol w:w="4111"/>
        <w:gridCol w:w="4389"/>
      </w:tblGrid>
      <w:tr>
        <w:tc>
          <w:tcPr>
            <w:tcW w:type="dxa" w:w="1129"/>
          </w:tcPr>
          <w:p w14:paraId="B9010000">
            <w:pPr>
              <w:spacing w:line="360" w:lineRule="auto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 п/п</w:t>
            </w:r>
          </w:p>
        </w:tc>
        <w:tc>
          <w:tcPr>
            <w:tcW w:type="dxa" w:w="4111"/>
          </w:tcPr>
          <w:p w14:paraId="BA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Измерить и занести размер</w:t>
            </w:r>
          </w:p>
        </w:tc>
        <w:tc>
          <w:tcPr>
            <w:tcW w:type="dxa" w:w="4389"/>
          </w:tcPr>
          <w:p w14:paraId="BB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Фактически измеренный размер</w:t>
            </w:r>
          </w:p>
        </w:tc>
      </w:tr>
      <w:tr>
        <w:tc>
          <w:tcPr>
            <w:tcW w:type="dxa" w:w="1129"/>
          </w:tcPr>
          <w:p w14:paraId="BC010000">
            <w:pPr>
              <w:spacing w:line="360" w:lineRule="auto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color w:val="000000"/>
                <w:sz w:val="24"/>
              </w:rPr>
              <w:t>Измерить и занести размер   1</w:t>
            </w:r>
          </w:p>
        </w:tc>
        <w:tc>
          <w:tcPr>
            <w:tcW w:type="dxa" w:w="4389"/>
            <w:vAlign w:val="center"/>
          </w:tcPr>
          <w:p w14:paraId="BE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</w:p>
        </w:tc>
      </w:tr>
      <w:tr>
        <w:tc>
          <w:tcPr>
            <w:tcW w:type="dxa" w:w="1129"/>
          </w:tcPr>
          <w:p w14:paraId="BF010000">
            <w:pPr>
              <w:spacing w:line="360" w:lineRule="auto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color w:val="000000"/>
                <w:sz w:val="24"/>
              </w:rPr>
              <w:t>Измерить и занести размер   2</w:t>
            </w:r>
          </w:p>
        </w:tc>
        <w:tc>
          <w:tcPr>
            <w:tcW w:type="dxa" w:w="4389"/>
            <w:vAlign w:val="center"/>
          </w:tcPr>
          <w:p w14:paraId="C1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</w:p>
        </w:tc>
      </w:tr>
      <w:tr>
        <w:tc>
          <w:tcPr>
            <w:tcW w:type="dxa" w:w="1129"/>
          </w:tcPr>
          <w:p w14:paraId="C2010000">
            <w:pPr>
              <w:spacing w:line="360" w:lineRule="auto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</w:t>
            </w:r>
          </w:p>
        </w:tc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color w:val="000000"/>
                <w:sz w:val="24"/>
              </w:rPr>
              <w:t>Измерить и занести размер   3</w:t>
            </w:r>
          </w:p>
        </w:tc>
        <w:tc>
          <w:tcPr>
            <w:tcW w:type="dxa" w:w="4389"/>
            <w:vAlign w:val="center"/>
          </w:tcPr>
          <w:p w14:paraId="C4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</w:p>
        </w:tc>
      </w:tr>
      <w:tr>
        <w:tc>
          <w:tcPr>
            <w:tcW w:type="dxa" w:w="1129"/>
          </w:tcPr>
          <w:p w14:paraId="C5010000">
            <w:pPr>
              <w:spacing w:line="360" w:lineRule="auto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color w:val="000000"/>
                <w:sz w:val="24"/>
              </w:rPr>
              <w:t>Измерить и занести размер   4</w:t>
            </w:r>
          </w:p>
        </w:tc>
        <w:tc>
          <w:tcPr>
            <w:tcW w:type="dxa" w:w="4389"/>
            <w:vAlign w:val="center"/>
          </w:tcPr>
          <w:p w14:paraId="C7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</w:p>
        </w:tc>
      </w:tr>
      <w:tr>
        <w:tc>
          <w:tcPr>
            <w:tcW w:type="dxa" w:w="1129"/>
          </w:tcPr>
          <w:p w14:paraId="C8010000">
            <w:pPr>
              <w:spacing w:line="360" w:lineRule="auto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5</w:t>
            </w:r>
          </w:p>
        </w:tc>
        <w:tc>
          <w:tcPr>
            <w:tcW w:type="dxa" w:w="4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color w:val="000000"/>
                <w:sz w:val="24"/>
              </w:rPr>
              <w:t>Измерить и занести размер   5</w:t>
            </w:r>
          </w:p>
        </w:tc>
        <w:tc>
          <w:tcPr>
            <w:tcW w:type="dxa" w:w="4389"/>
            <w:vAlign w:val="center"/>
          </w:tcPr>
          <w:p w14:paraId="CA010000">
            <w:pPr>
              <w:spacing w:line="360" w:lineRule="auto"/>
              <w:ind/>
              <w:jc w:val="center"/>
              <w:rPr>
                <w:b w:val="1"/>
                <w:sz w:val="24"/>
              </w:rPr>
            </w:pPr>
          </w:p>
        </w:tc>
      </w:tr>
    </w:tbl>
    <w:p w14:paraId="CB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C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D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E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CF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0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1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2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3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4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5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6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7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8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9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A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B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C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D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E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F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0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1010000">
      <w:pPr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Приложение </w:t>
      </w:r>
      <w:r>
        <w:rPr>
          <w:rFonts w:ascii="Times New Roman" w:hAnsi="Times New Roman"/>
          <w:b w:val="1"/>
          <w:sz w:val="28"/>
        </w:rPr>
        <w:t>6</w:t>
      </w:r>
    </w:p>
    <w:p w14:paraId="E2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Таблица допусков.</w:t>
      </w:r>
    </w:p>
    <w:p w14:paraId="E3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bookmarkStart w:id="11" w:name="_GoBack"/>
      <w:bookmarkEnd w:id="11"/>
      <w:r>
        <w:rPr>
          <w:rFonts w:ascii="Times New Roman" w:hAnsi="Times New Roman"/>
          <w:b w:val="1"/>
          <w:sz w:val="28"/>
        </w:rPr>
        <w:drawing>
          <wp:inline>
            <wp:extent cx="6480810" cy="458470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480810" cy="4584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4010000">
      <w:pPr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</w:p>
    <w:sectPr>
      <w:footerReference r:id="rId1" w:type="default"/>
      <w:pgSz w:h="16838" w:orient="portrait" w:w="11906"/>
      <w:pgMar w:bottom="1134" w:footer="170" w:gutter="0" w:header="624" w:left="1418" w:right="849" w:top="1134"/>
      <w:pgNumType w:start="0"/>
      <w:titlePg/>
    </w:sectPr>
  </w:body>
</w:document>
</file>

<file path=word/endnotes.xml><?xml version="1.0" encoding="utf-8"?>
<w:end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<w:endnote w:id="-1" w:type="separator">
    <w:p>
      <w:r>
        <w:separator/>
      </w:r>
    </w:p>
  </w:endnote>
  <w:endnote w:id="0" w:type="continuationSeparator">
    <w:p>
      <w:r>
        <w:continuationSeparator/>
      </w:r>
    </w:p>
  </w:endnote>
</w:endnotes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fldChar w:fldCharType="end"/>
    </w:r>
  </w:p>
  <w:p w14:paraId="02000000">
    <w:pPr>
      <w:pStyle w:val="Style_1"/>
    </w:pPr>
  </w:p>
</w:ftr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>
      <w:r>
        <w:separator/>
      </w:r>
    </w:p>
  </w:footnote>
  <w:footnote w:id="0" w:type="continuationSeparator">
    <w:p>
      <w:r>
        <w:continuationSeparator/>
      </w:r>
    </w:p>
  </w:footnote>
  <w:footnote w:id="1">
    <w:p w14:paraId="E5010000">
      <w:pPr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18"/>
        </w:rPr>
      </w:pPr>
      <w:r>
        <w:rPr>
          <w:rFonts w:ascii="Times New Roman" w:hAnsi="Times New Roman"/>
          <w:i w:val="1"/>
          <w:color w:val="000000"/>
          <w:sz w:val="18"/>
          <w:vertAlign w:val="superscript"/>
        </w:rPr>
        <w:footnoteRef/>
      </w:r>
      <w:r>
        <w:rPr>
          <w:rFonts w:ascii="Times New Roman" w:hAnsi="Times New Roman"/>
          <w:i w:val="1"/>
          <w:color w:val="000000"/>
          <w:sz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E6010000">
      <w:pPr>
        <w:spacing w:after="0" w:line="240" w:lineRule="auto"/>
        <w:ind/>
        <w:rPr>
          <w:rFonts w:ascii="Times New Roman" w:hAnsi="Times New Roman"/>
          <w:i w:val="1"/>
          <w:color w:val="000000"/>
          <w:sz w:val="18"/>
        </w:rPr>
      </w:pPr>
      <w:r>
        <w:rPr>
          <w:rFonts w:ascii="Times New Roman" w:hAnsi="Times New Roman"/>
          <w:i w:val="1"/>
          <w:color w:val="000000"/>
          <w:sz w:val="18"/>
          <w:vertAlign w:val="superscript"/>
        </w:rPr>
        <w:footnoteRef/>
      </w:r>
      <w:r>
        <w:rPr>
          <w:rFonts w:ascii="Times New Roman" w:hAnsi="Times New Roman"/>
          <w:i w:val="1"/>
          <w:color w:val="000000"/>
          <w:sz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pStyle w:val="Style_22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leader="none" w:pos="2160" w:val="left"/>
        </w:tabs>
        <w:ind w:hanging="360" w:left="21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"/>
      <w:lvlJc w:val="left"/>
      <w:pPr>
        <w:tabs>
          <w:tab w:leader="none" w:pos="4320" w:val="left"/>
        </w:tabs>
        <w:ind w:hanging="360" w:left="432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pStyle w:val="Style_27"/>
      <w:lvlText w:val="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ind w:hanging="360" w:left="2007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2">
    <w:lvl w:ilvl="0">
      <w:start w:val="1"/>
      <w:numFmt w:val="bullet"/>
      <w:pStyle w:val="Style_5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pStyle w:val="Style_46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3" w:type="paragraph">
    <w:name w:val="Normal"/>
    <w:link w:val="Style_13_ch"/>
    <w:uiPriority w:val="0"/>
    <w:qFormat/>
  </w:style>
  <w:style w:default="1" w:styleId="Style_13_ch" w:type="character">
    <w:name w:val="Normal"/>
    <w:link w:val="Style_13"/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7" w:type="paragraph">
    <w:name w:val="toc 2"/>
    <w:basedOn w:val="Style_13"/>
    <w:next w:val="Style_13"/>
    <w:link w:val="Style_7_ch"/>
    <w:uiPriority w:val="39"/>
    <w:pPr>
      <w:tabs>
        <w:tab w:leader="none" w:pos="142" w:val="left"/>
        <w:tab w:leader="dot" w:pos="9639" w:val="right"/>
      </w:tabs>
      <w:spacing w:after="0" w:line="240" w:lineRule="auto"/>
      <w:ind/>
    </w:pPr>
    <w:rPr>
      <w:rFonts w:ascii="Times New Roman" w:hAnsi="Times New Roman"/>
    </w:rPr>
  </w:style>
  <w:style w:styleId="Style_7_ch" w:type="character">
    <w:name w:val="toc 2"/>
    <w:basedOn w:val="Style_13_ch"/>
    <w:link w:val="Style_7"/>
    <w:rPr>
      <w:rFonts w:ascii="Times New Roman" w:hAnsi="Times New Roman"/>
    </w:rPr>
  </w:style>
  <w:style w:styleId="Style_15" w:type="paragraph">
    <w:name w:val="Placeholder Text"/>
    <w:basedOn w:val="Style_14"/>
    <w:link w:val="Style_15_ch"/>
    <w:rPr>
      <w:color w:val="808080"/>
    </w:rPr>
  </w:style>
  <w:style w:styleId="Style_15_ch" w:type="character">
    <w:name w:val="Placeholder Text"/>
    <w:basedOn w:val="Style_14_ch"/>
    <w:link w:val="Style_15"/>
    <w:rPr>
      <w:color w:val="808080"/>
    </w:rPr>
  </w:style>
  <w:style w:styleId="Style_16" w:type="paragraph">
    <w:name w:val="toc 4"/>
    <w:next w:val="Style_13"/>
    <w:link w:val="Style_1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6_ch" w:type="character">
    <w:name w:val="toc 4"/>
    <w:link w:val="Style_16"/>
    <w:rPr>
      <w:rFonts w:ascii="XO Thames" w:hAnsi="XO Thames"/>
      <w:sz w:val="28"/>
    </w:rPr>
  </w:style>
  <w:style w:styleId="Style_17" w:type="paragraph">
    <w:name w:val="heading 7"/>
    <w:basedOn w:val="Style_13"/>
    <w:next w:val="Style_13"/>
    <w:link w:val="Style_17_ch"/>
    <w:uiPriority w:val="9"/>
    <w:qFormat/>
    <w:pPr>
      <w:keepNext w:val="1"/>
      <w:widowControl w:val="0"/>
      <w:spacing w:after="0" w:line="360" w:lineRule="auto"/>
      <w:ind/>
      <w:jc w:val="both"/>
      <w:outlineLvl w:val="6"/>
    </w:pPr>
    <w:rPr>
      <w:rFonts w:ascii="Arial" w:hAnsi="Arial"/>
      <w:spacing w:val="-3"/>
      <w:sz w:val="28"/>
    </w:rPr>
  </w:style>
  <w:style w:styleId="Style_17_ch" w:type="character">
    <w:name w:val="heading 7"/>
    <w:basedOn w:val="Style_13_ch"/>
    <w:link w:val="Style_17"/>
    <w:rPr>
      <w:rFonts w:ascii="Arial" w:hAnsi="Arial"/>
      <w:spacing w:val="-3"/>
      <w:sz w:val="28"/>
    </w:rPr>
  </w:style>
  <w:style w:styleId="Style_18" w:type="paragraph">
    <w:name w:val="toc 6"/>
    <w:next w:val="Style_13"/>
    <w:link w:val="Style_1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8_ch" w:type="character">
    <w:name w:val="toc 6"/>
    <w:link w:val="Style_18"/>
    <w:rPr>
      <w:rFonts w:ascii="XO Thames" w:hAnsi="XO Thames"/>
      <w:sz w:val="28"/>
    </w:rPr>
  </w:style>
  <w:style w:styleId="Style_19" w:type="paragraph">
    <w:name w:val="Интернет-ссылка"/>
    <w:link w:val="Style_19_ch"/>
    <w:rPr>
      <w:color w:val="0000FF"/>
      <w:u w:val="single"/>
    </w:rPr>
  </w:style>
  <w:style w:styleId="Style_19_ch" w:type="character">
    <w:name w:val="Интернет-ссылка"/>
    <w:link w:val="Style_19"/>
    <w:rPr>
      <w:color w:val="0000FF"/>
      <w:u w:val="single"/>
    </w:rPr>
  </w:style>
  <w:style w:styleId="Style_20" w:type="paragraph">
    <w:name w:val="toc 7"/>
    <w:next w:val="Style_13"/>
    <w:link w:val="Style_2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0_ch" w:type="character">
    <w:name w:val="toc 7"/>
    <w:link w:val="Style_20"/>
    <w:rPr>
      <w:rFonts w:ascii="XO Thames" w:hAnsi="XO Thames"/>
      <w:sz w:val="28"/>
    </w:rPr>
  </w:style>
  <w:style w:styleId="Style_21" w:type="paragraph">
    <w:name w:val="annotation reference"/>
    <w:basedOn w:val="Style_14"/>
    <w:link w:val="Style_21_ch"/>
    <w:rPr>
      <w:sz w:val="16"/>
    </w:rPr>
  </w:style>
  <w:style w:styleId="Style_21_ch" w:type="character">
    <w:name w:val="annotation reference"/>
    <w:basedOn w:val="Style_14_ch"/>
    <w:link w:val="Style_21"/>
    <w:rPr>
      <w:sz w:val="16"/>
    </w:rPr>
  </w:style>
  <w:style w:styleId="Style_22" w:type="paragraph">
    <w:name w:val="!Список с точками"/>
    <w:basedOn w:val="Style_13"/>
    <w:link w:val="Style_22_ch"/>
    <w:pPr>
      <w:numPr>
        <w:numId w:val="1"/>
      </w:numPr>
      <w:spacing w:after="0" w:line="360" w:lineRule="auto"/>
      <w:ind/>
      <w:jc w:val="both"/>
    </w:pPr>
    <w:rPr>
      <w:rFonts w:ascii="Times New Roman" w:hAnsi="Times New Roman"/>
    </w:rPr>
  </w:style>
  <w:style w:styleId="Style_22_ch" w:type="character">
    <w:name w:val="!Список с точками"/>
    <w:basedOn w:val="Style_13_ch"/>
    <w:link w:val="Style_22"/>
    <w:rPr>
      <w:rFonts w:ascii="Times New Roman" w:hAnsi="Times New Roman"/>
    </w:rPr>
  </w:style>
  <w:style w:styleId="Style_8" w:type="paragraph">
    <w:name w:val="!заголовок-2"/>
    <w:basedOn w:val="Style_12"/>
    <w:link w:val="Style_8_ch"/>
  </w:style>
  <w:style w:styleId="Style_8_ch" w:type="character">
    <w:name w:val="!заголовок-2"/>
    <w:basedOn w:val="Style_12_ch"/>
    <w:link w:val="Style_8"/>
  </w:style>
  <w:style w:styleId="Style_23" w:type="paragraph">
    <w:name w:val="End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Endnote"/>
    <w:link w:val="Style_23"/>
    <w:rPr>
      <w:rFonts w:ascii="XO Thames" w:hAnsi="XO Thames"/>
      <w:sz w:val="22"/>
    </w:rPr>
  </w:style>
  <w:style w:styleId="Style_24" w:type="paragraph">
    <w:name w:val="heading 3"/>
    <w:basedOn w:val="Style_13"/>
    <w:next w:val="Style_13"/>
    <w:link w:val="Style_24_ch"/>
    <w:uiPriority w:val="9"/>
    <w:qFormat/>
    <w:pPr>
      <w:keepNext w:val="1"/>
      <w:spacing w:after="0" w:before="120" w:line="360" w:lineRule="auto"/>
      <w:ind/>
      <w:outlineLvl w:val="2"/>
    </w:pPr>
    <w:rPr>
      <w:rFonts w:ascii="Arial" w:hAnsi="Arial"/>
      <w:b w:val="1"/>
    </w:rPr>
  </w:style>
  <w:style w:styleId="Style_24_ch" w:type="character">
    <w:name w:val="heading 3"/>
    <w:basedOn w:val="Style_13_ch"/>
    <w:link w:val="Style_24"/>
    <w:rPr>
      <w:rFonts w:ascii="Arial" w:hAnsi="Arial"/>
      <w:b w:val="1"/>
    </w:rPr>
  </w:style>
  <w:style w:styleId="Style_9" w:type="paragraph">
    <w:name w:val="!Заголовок-1"/>
    <w:basedOn w:val="Style_25"/>
    <w:link w:val="Style_9_ch"/>
  </w:style>
  <w:style w:styleId="Style_9_ch" w:type="character">
    <w:name w:val="!Заголовок-1"/>
    <w:basedOn w:val="Style_25_ch"/>
    <w:link w:val="Style_9"/>
  </w:style>
  <w:style w:styleId="Style_26" w:type="paragraph">
    <w:name w:val="Неразрешенное упоминание1"/>
    <w:basedOn w:val="Style_14"/>
    <w:link w:val="Style_26_ch"/>
    <w:rPr>
      <w:color w:val="605E5C"/>
      <w:shd w:fill="E1DFDD" w:val="clear"/>
    </w:rPr>
  </w:style>
  <w:style w:styleId="Style_26_ch" w:type="character">
    <w:name w:val="Неразрешенное упоминание1"/>
    <w:basedOn w:val="Style_14_ch"/>
    <w:link w:val="Style_26"/>
    <w:rPr>
      <w:color w:val="605E5C"/>
      <w:shd w:fill="E1DFDD" w:val="clear"/>
    </w:rPr>
  </w:style>
  <w:style w:styleId="Style_3" w:type="paragraph">
    <w:name w:val="Body Text"/>
    <w:basedOn w:val="Style_13"/>
    <w:link w:val="Style_3_ch"/>
    <w:pPr>
      <w:widowControl w:val="0"/>
      <w:spacing w:after="0" w:line="360" w:lineRule="auto"/>
      <w:ind/>
      <w:jc w:val="both"/>
    </w:pPr>
    <w:rPr>
      <w:rFonts w:ascii="Arial" w:hAnsi="Arial"/>
      <w:sz w:val="24"/>
    </w:rPr>
  </w:style>
  <w:style w:styleId="Style_3_ch" w:type="character">
    <w:name w:val="Body Text"/>
    <w:basedOn w:val="Style_13_ch"/>
    <w:link w:val="Style_3"/>
    <w:rPr>
      <w:rFonts w:ascii="Arial" w:hAnsi="Arial"/>
      <w:sz w:val="24"/>
    </w:rPr>
  </w:style>
  <w:style w:styleId="Style_27" w:type="paragraph">
    <w:name w:val="Lista Black"/>
    <w:basedOn w:val="Style_3"/>
    <w:link w:val="Style_27_ch"/>
    <w:pPr>
      <w:keepNext w:val="1"/>
      <w:numPr>
        <w:numId w:val="2"/>
      </w:numPr>
      <w:spacing w:after="120" w:line="240" w:lineRule="auto"/>
      <w:ind/>
      <w:jc w:val="left"/>
    </w:pPr>
    <w:rPr>
      <w:rFonts w:ascii="Calibri" w:hAnsi="Calibri"/>
      <w:sz w:val="20"/>
    </w:rPr>
  </w:style>
  <w:style w:styleId="Style_27_ch" w:type="character">
    <w:name w:val="Lista Black"/>
    <w:basedOn w:val="Style_3_ch"/>
    <w:link w:val="Style_27"/>
    <w:rPr>
      <w:rFonts w:ascii="Calibri" w:hAnsi="Calibri"/>
      <w:sz w:val="20"/>
    </w:rPr>
  </w:style>
  <w:style w:styleId="Style_28" w:type="paragraph">
    <w:name w:val="heading 9"/>
    <w:basedOn w:val="Style_13"/>
    <w:next w:val="Style_13"/>
    <w:link w:val="Style_28_ch"/>
    <w:uiPriority w:val="9"/>
    <w:qFormat/>
    <w:pPr>
      <w:keepNext w:val="1"/>
      <w:widowControl w:val="0"/>
      <w:spacing w:after="0" w:line="360" w:lineRule="auto"/>
      <w:ind w:firstLine="360" w:left="360"/>
      <w:jc w:val="both"/>
      <w:outlineLvl w:val="8"/>
    </w:pPr>
    <w:rPr>
      <w:rFonts w:ascii="Arial" w:hAnsi="Arial"/>
      <w:sz w:val="24"/>
      <w:u w:val="single"/>
    </w:rPr>
  </w:style>
  <w:style w:styleId="Style_28_ch" w:type="character">
    <w:name w:val="heading 9"/>
    <w:basedOn w:val="Style_13_ch"/>
    <w:link w:val="Style_28"/>
    <w:rPr>
      <w:rFonts w:ascii="Arial" w:hAnsi="Arial"/>
      <w:sz w:val="24"/>
      <w:u w:val="single"/>
    </w:rPr>
  </w:style>
  <w:style w:styleId="Style_29" w:type="paragraph">
    <w:name w:val="page number"/>
    <w:link w:val="Style_29_ch"/>
    <w:rPr>
      <w:rFonts w:ascii="Arial" w:hAnsi="Arial"/>
      <w:sz w:val="16"/>
    </w:rPr>
  </w:style>
  <w:style w:styleId="Style_29_ch" w:type="character">
    <w:name w:val="page number"/>
    <w:link w:val="Style_29"/>
    <w:rPr>
      <w:rFonts w:ascii="Arial" w:hAnsi="Arial"/>
      <w:sz w:val="16"/>
    </w:rPr>
  </w:style>
  <w:style w:styleId="Style_4" w:type="paragraph">
    <w:name w:val="Основной текст (14)_3"/>
    <w:basedOn w:val="Style_13"/>
    <w:link w:val="Style_4_ch"/>
    <w:pPr>
      <w:widowControl w:val="0"/>
      <w:spacing w:after="0" w:line="264" w:lineRule="exact"/>
      <w:ind w:hanging="600" w:left="600"/>
    </w:pPr>
    <w:rPr>
      <w:rFonts w:ascii="Segoe UI" w:hAnsi="Segoe UI"/>
      <w:sz w:val="19"/>
    </w:rPr>
  </w:style>
  <w:style w:styleId="Style_4_ch" w:type="character">
    <w:name w:val="Основной текст (14)_3"/>
    <w:basedOn w:val="Style_13_ch"/>
    <w:link w:val="Style_4"/>
    <w:rPr>
      <w:rFonts w:ascii="Segoe UI" w:hAnsi="Segoe UI"/>
      <w:sz w:val="19"/>
    </w:rPr>
  </w:style>
  <w:style w:styleId="Style_30" w:type="paragraph">
    <w:name w:val="выделение цвет"/>
    <w:basedOn w:val="Style_13"/>
    <w:link w:val="Style_30_ch"/>
    <w:pPr>
      <w:spacing w:after="0" w:line="360" w:lineRule="auto"/>
      <w:ind/>
      <w:jc w:val="both"/>
    </w:pPr>
    <w:rPr>
      <w:rFonts w:ascii="Times New Roman" w:hAnsi="Times New Roman"/>
      <w:b w:val="1"/>
      <w:color w:val="2C8DE6"/>
      <w:u w:val="single"/>
    </w:rPr>
  </w:style>
  <w:style w:styleId="Style_30_ch" w:type="character">
    <w:name w:val="выделение цвет"/>
    <w:basedOn w:val="Style_13_ch"/>
    <w:link w:val="Style_30"/>
    <w:rPr>
      <w:rFonts w:ascii="Times New Roman" w:hAnsi="Times New Roman"/>
      <w:b w:val="1"/>
      <w:color w:val="2C8DE6"/>
      <w:u w:val="single"/>
    </w:rPr>
  </w:style>
  <w:style w:styleId="Style_1" w:type="paragraph">
    <w:name w:val="footer"/>
    <w:basedOn w:val="Style_13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13_ch"/>
    <w:link w:val="Style_1"/>
  </w:style>
  <w:style w:styleId="Style_31" w:type="paragraph">
    <w:name w:val="Неразрешенное упоминание2"/>
    <w:basedOn w:val="Style_14"/>
    <w:link w:val="Style_31_ch"/>
    <w:rPr>
      <w:color w:val="605E5C"/>
      <w:shd w:fill="E1DFDD" w:val="clear"/>
    </w:rPr>
  </w:style>
  <w:style w:styleId="Style_31_ch" w:type="character">
    <w:name w:val="Неразрешенное упоминание2"/>
    <w:basedOn w:val="Style_14_ch"/>
    <w:link w:val="Style_31"/>
    <w:rPr>
      <w:color w:val="605E5C"/>
      <w:shd w:fill="E1DFDD" w:val="clear"/>
    </w:rPr>
  </w:style>
  <w:style w:styleId="Style_32" w:type="paragraph">
    <w:name w:val="annotation subject"/>
    <w:basedOn w:val="Style_11"/>
    <w:next w:val="Style_11"/>
    <w:link w:val="Style_32_ch"/>
    <w:rPr>
      <w:b w:val="1"/>
    </w:rPr>
  </w:style>
  <w:style w:styleId="Style_32_ch" w:type="character">
    <w:name w:val="annotation subject"/>
    <w:basedOn w:val="Style_11_ch"/>
    <w:link w:val="Style_32"/>
    <w:rPr>
      <w:b w:val="1"/>
    </w:rPr>
  </w:style>
  <w:style w:styleId="Style_33" w:type="paragraph">
    <w:name w:val="Doc subtitle1"/>
    <w:basedOn w:val="Style_13"/>
    <w:link w:val="Style_33_ch"/>
    <w:pPr>
      <w:spacing w:after="0" w:line="360" w:lineRule="auto"/>
      <w:ind/>
    </w:pPr>
    <w:rPr>
      <w:rFonts w:ascii="Arial" w:hAnsi="Arial"/>
      <w:b w:val="1"/>
      <w:sz w:val="28"/>
    </w:rPr>
  </w:style>
  <w:style w:styleId="Style_33_ch" w:type="character">
    <w:name w:val="Doc subtitle1"/>
    <w:basedOn w:val="Style_13_ch"/>
    <w:link w:val="Style_33"/>
    <w:rPr>
      <w:rFonts w:ascii="Arial" w:hAnsi="Arial"/>
      <w:b w:val="1"/>
      <w:sz w:val="28"/>
    </w:rPr>
  </w:style>
  <w:style w:styleId="Style_34" w:type="paragraph">
    <w:name w:val="Doc title"/>
    <w:basedOn w:val="Style_13"/>
    <w:link w:val="Style_34_ch"/>
    <w:pPr>
      <w:spacing w:after="0" w:line="360" w:lineRule="auto"/>
      <w:ind/>
    </w:pPr>
    <w:rPr>
      <w:rFonts w:ascii="Arial" w:hAnsi="Arial"/>
      <w:b w:val="1"/>
      <w:sz w:val="40"/>
    </w:rPr>
  </w:style>
  <w:style w:styleId="Style_34_ch" w:type="character">
    <w:name w:val="Doc title"/>
    <w:basedOn w:val="Style_13_ch"/>
    <w:link w:val="Style_34"/>
    <w:rPr>
      <w:rFonts w:ascii="Arial" w:hAnsi="Arial"/>
      <w:b w:val="1"/>
      <w:sz w:val="40"/>
    </w:rPr>
  </w:style>
  <w:style w:styleId="Style_35" w:type="paragraph">
    <w:name w:val="Balloon Text"/>
    <w:basedOn w:val="Style_13"/>
    <w:link w:val="Style_35_ch"/>
    <w:pPr>
      <w:spacing w:after="0" w:line="240" w:lineRule="auto"/>
      <w:ind/>
    </w:pPr>
    <w:rPr>
      <w:rFonts w:ascii="Tahoma" w:hAnsi="Tahoma"/>
      <w:sz w:val="16"/>
    </w:rPr>
  </w:style>
  <w:style w:styleId="Style_35_ch" w:type="character">
    <w:name w:val="Balloon Text"/>
    <w:basedOn w:val="Style_13_ch"/>
    <w:link w:val="Style_35"/>
    <w:rPr>
      <w:rFonts w:ascii="Tahoma" w:hAnsi="Tahoma"/>
      <w:sz w:val="16"/>
    </w:rPr>
  </w:style>
  <w:style w:styleId="Style_36" w:type="paragraph">
    <w:name w:val="List Paragraph"/>
    <w:basedOn w:val="Style_13"/>
    <w:link w:val="Style_36_ch"/>
    <w:pPr>
      <w:spacing w:after="200" w:line="276" w:lineRule="auto"/>
      <w:ind w:firstLine="0" w:left="720"/>
      <w:contextualSpacing w:val="1"/>
    </w:pPr>
    <w:rPr>
      <w:rFonts w:ascii="Calibri" w:hAnsi="Calibri"/>
    </w:rPr>
  </w:style>
  <w:style w:styleId="Style_36_ch" w:type="character">
    <w:name w:val="List Paragraph"/>
    <w:basedOn w:val="Style_13_ch"/>
    <w:link w:val="Style_36"/>
    <w:rPr>
      <w:rFonts w:ascii="Calibri" w:hAnsi="Calibri"/>
    </w:rPr>
  </w:style>
  <w:style w:styleId="Style_37" w:type="paragraph">
    <w:name w:val="No Spacing"/>
    <w:link w:val="Style_37_ch"/>
    <w:pPr>
      <w:spacing w:after="0" w:line="240" w:lineRule="auto"/>
      <w:ind/>
    </w:pPr>
  </w:style>
  <w:style w:styleId="Style_37_ch" w:type="character">
    <w:name w:val="No Spacing"/>
    <w:link w:val="Style_37"/>
  </w:style>
  <w:style w:styleId="Style_38" w:type="paragraph">
    <w:name w:val="!Текст"/>
    <w:basedOn w:val="Style_13"/>
    <w:link w:val="Style_38_ch"/>
    <w:pPr>
      <w:spacing w:after="0" w:line="360" w:lineRule="auto"/>
      <w:ind/>
      <w:jc w:val="both"/>
    </w:pPr>
    <w:rPr>
      <w:rFonts w:ascii="Times New Roman" w:hAnsi="Times New Roman"/>
    </w:rPr>
  </w:style>
  <w:style w:styleId="Style_38_ch" w:type="character">
    <w:name w:val="!Текст"/>
    <w:basedOn w:val="Style_13_ch"/>
    <w:link w:val="Style_38"/>
    <w:rPr>
      <w:rFonts w:ascii="Times New Roman" w:hAnsi="Times New Roman"/>
    </w:rPr>
  </w:style>
  <w:style w:styleId="Style_39" w:type="paragraph">
    <w:name w:val="toc 3"/>
    <w:basedOn w:val="Style_13"/>
    <w:next w:val="Style_13"/>
    <w:link w:val="Style_39_ch"/>
    <w:uiPriority w:val="39"/>
    <w:pPr>
      <w:spacing w:after="100" w:line="276" w:lineRule="auto"/>
      <w:ind w:firstLine="0" w:left="440"/>
    </w:pPr>
    <w:rPr>
      <w:rFonts w:ascii="Calibri" w:hAnsi="Calibri"/>
    </w:rPr>
  </w:style>
  <w:style w:styleId="Style_39_ch" w:type="character">
    <w:name w:val="toc 3"/>
    <w:basedOn w:val="Style_13_ch"/>
    <w:link w:val="Style_39"/>
    <w:rPr>
      <w:rFonts w:ascii="Calibri" w:hAnsi="Calibri"/>
    </w:rPr>
  </w:style>
  <w:style w:styleId="Style_5" w:type="paragraph">
    <w:name w:val="bullet"/>
    <w:basedOn w:val="Style_13"/>
    <w:link w:val="Style_5_ch"/>
    <w:pPr>
      <w:numPr>
        <w:numId w:val="3"/>
      </w:numPr>
      <w:spacing w:after="0" w:line="360" w:lineRule="auto"/>
      <w:ind/>
    </w:pPr>
    <w:rPr>
      <w:rFonts w:ascii="Arial" w:hAnsi="Arial"/>
    </w:rPr>
  </w:style>
  <w:style w:styleId="Style_5_ch" w:type="character">
    <w:name w:val="bullet"/>
    <w:basedOn w:val="Style_13_ch"/>
    <w:link w:val="Style_5"/>
    <w:rPr>
      <w:rFonts w:ascii="Arial" w:hAnsi="Arial"/>
    </w:rPr>
  </w:style>
  <w:style w:styleId="Style_40" w:type="paragraph">
    <w:name w:val="Абзац списка1"/>
    <w:basedOn w:val="Style_13"/>
    <w:link w:val="Style_40_ch"/>
    <w:pPr>
      <w:spacing w:after="0" w:line="360" w:lineRule="auto"/>
      <w:ind w:firstLine="0" w:left="720"/>
    </w:pPr>
    <w:rPr>
      <w:rFonts w:ascii="Arial" w:hAnsi="Arial"/>
    </w:rPr>
  </w:style>
  <w:style w:styleId="Style_40_ch" w:type="character">
    <w:name w:val="Абзац списка1"/>
    <w:basedOn w:val="Style_13_ch"/>
    <w:link w:val="Style_40"/>
    <w:rPr>
      <w:rFonts w:ascii="Arial" w:hAnsi="Arial"/>
    </w:rPr>
  </w:style>
  <w:style w:styleId="Style_41" w:type="paragraph">
    <w:name w:val="Базовый"/>
    <w:link w:val="Style_41_ch"/>
    <w:pPr>
      <w:spacing w:after="200" w:line="276" w:lineRule="auto"/>
      <w:ind/>
    </w:pPr>
    <w:rPr>
      <w:rFonts w:ascii="Times New Roman" w:hAnsi="Times New Roman"/>
      <w:sz w:val="24"/>
    </w:rPr>
  </w:style>
  <w:style w:styleId="Style_41_ch" w:type="character">
    <w:name w:val="Базовый"/>
    <w:link w:val="Style_41"/>
    <w:rPr>
      <w:rFonts w:ascii="Times New Roman" w:hAnsi="Times New Roman"/>
      <w:sz w:val="24"/>
    </w:rPr>
  </w:style>
  <w:style w:styleId="Style_42" w:type="paragraph">
    <w:name w:val="footnote reference"/>
    <w:link w:val="Style_42_ch"/>
    <w:rPr>
      <w:vertAlign w:val="superscript"/>
    </w:rPr>
  </w:style>
  <w:style w:styleId="Style_42_ch" w:type="character">
    <w:name w:val="footnote reference"/>
    <w:link w:val="Style_42"/>
    <w:rPr>
      <w:vertAlign w:val="superscript"/>
    </w:rPr>
  </w:style>
  <w:style w:styleId="Style_43" w:type="paragraph">
    <w:name w:val="heading 5"/>
    <w:basedOn w:val="Style_13"/>
    <w:next w:val="Style_13"/>
    <w:link w:val="Style_43_ch"/>
    <w:uiPriority w:val="9"/>
    <w:qFormat/>
    <w:pPr>
      <w:keepNext w:val="1"/>
      <w:widowControl w:val="0"/>
      <w:spacing w:after="0" w:line="360" w:lineRule="auto"/>
      <w:ind/>
      <w:jc w:val="both"/>
      <w:outlineLvl w:val="4"/>
    </w:pPr>
    <w:rPr>
      <w:rFonts w:ascii="Arial" w:hAnsi="Arial"/>
      <w:b w:val="1"/>
      <w:sz w:val="28"/>
    </w:rPr>
  </w:style>
  <w:style w:styleId="Style_43_ch" w:type="character">
    <w:name w:val="heading 5"/>
    <w:basedOn w:val="Style_13_ch"/>
    <w:link w:val="Style_43"/>
    <w:rPr>
      <w:rFonts w:ascii="Arial" w:hAnsi="Arial"/>
      <w:b w:val="1"/>
      <w:sz w:val="28"/>
    </w:rPr>
  </w:style>
  <w:style w:styleId="Style_44" w:type="paragraph">
    <w:name w:val="538552DCBB0F4C4BB087ED922D6A6322"/>
    <w:link w:val="Style_44_ch"/>
    <w:pPr>
      <w:spacing w:after="200" w:line="276" w:lineRule="auto"/>
      <w:ind/>
    </w:pPr>
    <w:rPr>
      <w:rFonts w:ascii="Calibri" w:hAnsi="Calibri"/>
    </w:rPr>
  </w:style>
  <w:style w:styleId="Style_44_ch" w:type="character">
    <w:name w:val="538552DCBB0F4C4BB087ED922D6A6322"/>
    <w:link w:val="Style_44"/>
    <w:rPr>
      <w:rFonts w:ascii="Calibri" w:hAnsi="Calibri"/>
    </w:rPr>
  </w:style>
  <w:style w:styleId="Style_45" w:type="paragraph">
    <w:name w:val="Doc subtitle2"/>
    <w:basedOn w:val="Style_13"/>
    <w:link w:val="Style_45_ch"/>
    <w:pPr>
      <w:spacing w:after="0" w:line="360" w:lineRule="auto"/>
      <w:ind/>
    </w:pPr>
    <w:rPr>
      <w:rFonts w:ascii="Arial" w:hAnsi="Arial"/>
      <w:sz w:val="28"/>
    </w:rPr>
  </w:style>
  <w:style w:styleId="Style_45_ch" w:type="character">
    <w:name w:val="Doc subtitle2"/>
    <w:basedOn w:val="Style_13_ch"/>
    <w:link w:val="Style_45"/>
    <w:rPr>
      <w:rFonts w:ascii="Arial" w:hAnsi="Arial"/>
      <w:sz w:val="28"/>
    </w:rPr>
  </w:style>
  <w:style w:styleId="Style_46" w:type="paragraph">
    <w:name w:val="цветной текст"/>
    <w:basedOn w:val="Style_13"/>
    <w:link w:val="Style_46_ch"/>
    <w:pPr>
      <w:numPr>
        <w:numId w:val="4"/>
      </w:numPr>
      <w:spacing w:after="0" w:line="360" w:lineRule="auto"/>
      <w:ind/>
      <w:jc w:val="both"/>
    </w:pPr>
    <w:rPr>
      <w:rFonts w:ascii="Times New Roman" w:hAnsi="Times New Roman"/>
      <w:color w:val="2C8DE6"/>
    </w:rPr>
  </w:style>
  <w:style w:styleId="Style_46_ch" w:type="character">
    <w:name w:val="цветной текст"/>
    <w:basedOn w:val="Style_13_ch"/>
    <w:link w:val="Style_46"/>
    <w:rPr>
      <w:rFonts w:ascii="Times New Roman" w:hAnsi="Times New Roman"/>
      <w:color w:val="2C8DE6"/>
    </w:rPr>
  </w:style>
  <w:style w:styleId="Style_25" w:type="paragraph">
    <w:name w:val="heading 1"/>
    <w:basedOn w:val="Style_13"/>
    <w:next w:val="Style_13"/>
    <w:link w:val="Style_25_ch"/>
    <w:uiPriority w:val="9"/>
    <w:qFormat/>
    <w:pPr>
      <w:keepNext w:val="1"/>
      <w:spacing w:after="120" w:before="240" w:line="360" w:lineRule="auto"/>
      <w:ind/>
      <w:outlineLvl w:val="0"/>
    </w:pPr>
    <w:rPr>
      <w:rFonts w:ascii="Arial" w:hAnsi="Arial"/>
      <w:b w:val="1"/>
      <w:caps w:val="1"/>
      <w:color w:val="2C8DE6"/>
      <w:sz w:val="36"/>
    </w:rPr>
  </w:style>
  <w:style w:styleId="Style_25_ch" w:type="character">
    <w:name w:val="heading 1"/>
    <w:basedOn w:val="Style_13_ch"/>
    <w:link w:val="Style_25"/>
    <w:rPr>
      <w:rFonts w:ascii="Arial" w:hAnsi="Arial"/>
      <w:b w:val="1"/>
      <w:caps w:val="1"/>
      <w:color w:val="2C8DE6"/>
      <w:sz w:val="36"/>
    </w:rPr>
  </w:style>
  <w:style w:styleId="Style_47" w:type="paragraph">
    <w:name w:val="TOC Heading"/>
    <w:basedOn w:val="Style_25"/>
    <w:next w:val="Style_13"/>
    <w:link w:val="Style_47_ch"/>
    <w:pPr>
      <w:keepLines w:val="1"/>
      <w:spacing w:after="0" w:before="480" w:line="276" w:lineRule="auto"/>
      <w:ind/>
      <w:outlineLvl w:val="8"/>
    </w:pPr>
    <w:rPr>
      <w:rFonts w:ascii="Cambria" w:hAnsi="Cambria"/>
      <w:caps w:val="0"/>
      <w:color w:val="365F91"/>
      <w:sz w:val="28"/>
    </w:rPr>
  </w:style>
  <w:style w:styleId="Style_47_ch" w:type="character">
    <w:name w:val="TOC Heading"/>
    <w:basedOn w:val="Style_25_ch"/>
    <w:link w:val="Style_47"/>
    <w:rPr>
      <w:rFonts w:ascii="Cambria" w:hAnsi="Cambria"/>
      <w:caps w:val="0"/>
      <w:color w:val="365F91"/>
      <w:sz w:val="28"/>
    </w:rPr>
  </w:style>
  <w:style w:styleId="Style_48" w:type="paragraph">
    <w:name w:val="Hyperlink"/>
    <w:link w:val="Style_48_ch"/>
    <w:rPr>
      <w:color w:val="0000FF"/>
      <w:u w:val="single"/>
    </w:rPr>
  </w:style>
  <w:style w:styleId="Style_48_ch" w:type="character">
    <w:name w:val="Hyperlink"/>
    <w:link w:val="Style_48"/>
    <w:rPr>
      <w:color w:val="0000FF"/>
      <w:u w:val="single"/>
    </w:rPr>
  </w:style>
  <w:style w:styleId="Style_49" w:type="paragraph">
    <w:name w:val="Footnote"/>
    <w:basedOn w:val="Style_13"/>
    <w:link w:val="Style_49_ch"/>
    <w:pPr>
      <w:spacing w:after="0" w:line="360" w:lineRule="auto"/>
      <w:ind/>
    </w:pPr>
    <w:rPr>
      <w:rFonts w:ascii="Times New Roman" w:hAnsi="Times New Roman"/>
    </w:rPr>
  </w:style>
  <w:style w:styleId="Style_49_ch" w:type="character">
    <w:name w:val="Footnote"/>
    <w:basedOn w:val="Style_13_ch"/>
    <w:link w:val="Style_49"/>
    <w:rPr>
      <w:rFonts w:ascii="Times New Roman" w:hAnsi="Times New Roman"/>
    </w:rPr>
  </w:style>
  <w:style w:styleId="Style_50" w:type="paragraph">
    <w:name w:val="цвет в таблице"/>
    <w:link w:val="Style_50_ch"/>
    <w:rPr>
      <w:color w:val="2C8DE6"/>
    </w:rPr>
  </w:style>
  <w:style w:styleId="Style_50_ch" w:type="character">
    <w:name w:val="цвет в таблице"/>
    <w:link w:val="Style_50"/>
    <w:rPr>
      <w:color w:val="2C8DE6"/>
    </w:rPr>
  </w:style>
  <w:style w:styleId="Style_51" w:type="paragraph">
    <w:name w:val="heading 8"/>
    <w:basedOn w:val="Style_13"/>
    <w:next w:val="Style_13"/>
    <w:link w:val="Style_51_ch"/>
    <w:uiPriority w:val="9"/>
    <w:qFormat/>
    <w:pPr>
      <w:keepNext w:val="1"/>
      <w:widowControl w:val="0"/>
      <w:spacing w:after="0" w:line="360" w:lineRule="auto"/>
      <w:ind/>
      <w:jc w:val="both"/>
      <w:outlineLvl w:val="7"/>
    </w:pPr>
    <w:rPr>
      <w:rFonts w:ascii="Arial" w:hAnsi="Arial"/>
      <w:b w:val="1"/>
      <w:sz w:val="24"/>
    </w:rPr>
  </w:style>
  <w:style w:styleId="Style_51_ch" w:type="character">
    <w:name w:val="heading 8"/>
    <w:basedOn w:val="Style_13_ch"/>
    <w:link w:val="Style_51"/>
    <w:rPr>
      <w:rFonts w:ascii="Arial" w:hAnsi="Arial"/>
      <w:b w:val="1"/>
      <w:sz w:val="24"/>
    </w:rPr>
  </w:style>
  <w:style w:styleId="Style_52" w:type="paragraph">
    <w:name w:val="caption"/>
    <w:basedOn w:val="Style_13"/>
    <w:next w:val="Style_13"/>
    <w:link w:val="Style_52_ch"/>
    <w:pPr>
      <w:widowControl w:val="0"/>
      <w:spacing w:after="0" w:before="240" w:line="360" w:lineRule="auto"/>
      <w:ind/>
      <w:jc w:val="center"/>
    </w:pPr>
    <w:rPr>
      <w:rFonts w:ascii="Arial" w:hAnsi="Arial"/>
      <w:b w:val="1"/>
      <w:sz w:val="36"/>
    </w:rPr>
  </w:style>
  <w:style w:styleId="Style_52_ch" w:type="character">
    <w:name w:val="caption"/>
    <w:basedOn w:val="Style_13_ch"/>
    <w:link w:val="Style_52"/>
    <w:rPr>
      <w:rFonts w:ascii="Arial" w:hAnsi="Arial"/>
      <w:b w:val="1"/>
      <w:sz w:val="36"/>
    </w:rPr>
  </w:style>
  <w:style w:styleId="Style_6" w:type="paragraph">
    <w:name w:val="toc 1"/>
    <w:basedOn w:val="Style_13"/>
    <w:next w:val="Style_13"/>
    <w:link w:val="Style_6_ch"/>
    <w:uiPriority w:val="39"/>
    <w:pPr>
      <w:tabs>
        <w:tab w:leader="dot" w:pos="9825" w:val="right"/>
      </w:tabs>
      <w:spacing w:after="0" w:line="360" w:lineRule="auto"/>
      <w:ind/>
    </w:pPr>
    <w:rPr>
      <w:rFonts w:ascii="Arial" w:hAnsi="Arial"/>
      <w:sz w:val="24"/>
    </w:rPr>
  </w:style>
  <w:style w:styleId="Style_6_ch" w:type="character">
    <w:name w:val="toc 1"/>
    <w:basedOn w:val="Style_13_ch"/>
    <w:link w:val="Style_6"/>
    <w:rPr>
      <w:rFonts w:ascii="Arial" w:hAnsi="Arial"/>
      <w:sz w:val="24"/>
    </w:rPr>
  </w:style>
  <w:style w:styleId="Style_53" w:type="paragraph">
    <w:name w:val="Body Text Indent 2"/>
    <w:basedOn w:val="Style_13"/>
    <w:link w:val="Style_53_ch"/>
    <w:pPr>
      <w:spacing w:after="0" w:line="360" w:lineRule="auto"/>
      <w:ind w:firstLine="0" w:left="720"/>
    </w:pPr>
    <w:rPr>
      <w:rFonts w:ascii="Arial" w:hAnsi="Arial"/>
      <w:sz w:val="24"/>
    </w:rPr>
  </w:style>
  <w:style w:styleId="Style_53_ch" w:type="character">
    <w:name w:val="Body Text Indent 2"/>
    <w:basedOn w:val="Style_13_ch"/>
    <w:link w:val="Style_53"/>
    <w:rPr>
      <w:rFonts w:ascii="Arial" w:hAnsi="Arial"/>
      <w:sz w:val="24"/>
    </w:rPr>
  </w:style>
  <w:style w:styleId="Style_54" w:type="paragraph">
    <w:name w:val="Header and Footer"/>
    <w:link w:val="Style_54_ch"/>
    <w:pPr>
      <w:spacing w:line="240" w:lineRule="auto"/>
      <w:ind/>
      <w:jc w:val="both"/>
    </w:pPr>
    <w:rPr>
      <w:rFonts w:ascii="XO Thames" w:hAnsi="XO Thames"/>
      <w:sz w:val="28"/>
    </w:rPr>
  </w:style>
  <w:style w:styleId="Style_54_ch" w:type="character">
    <w:name w:val="Header and Footer"/>
    <w:link w:val="Style_54"/>
    <w:rPr>
      <w:rFonts w:ascii="XO Thames" w:hAnsi="XO Thames"/>
      <w:sz w:val="28"/>
    </w:rPr>
  </w:style>
  <w:style w:styleId="Style_55" w:type="paragraph">
    <w:name w:val="toc 9"/>
    <w:next w:val="Style_13"/>
    <w:link w:val="Style_5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55_ch" w:type="character">
    <w:name w:val="toc 9"/>
    <w:link w:val="Style_55"/>
    <w:rPr>
      <w:rFonts w:ascii="XO Thames" w:hAnsi="XO Thames"/>
      <w:sz w:val="28"/>
    </w:rPr>
  </w:style>
  <w:style w:styleId="Style_56" w:type="paragraph">
    <w:name w:val="!Синий заголовок текста"/>
    <w:basedOn w:val="Style_30"/>
    <w:link w:val="Style_56_ch"/>
  </w:style>
  <w:style w:styleId="Style_56_ch" w:type="character">
    <w:name w:val="!Синий заголовок текста"/>
    <w:basedOn w:val="Style_30_ch"/>
    <w:link w:val="Style_56"/>
  </w:style>
  <w:style w:styleId="Style_11" w:type="paragraph">
    <w:name w:val="annotation text"/>
    <w:basedOn w:val="Style_13"/>
    <w:link w:val="Style_11_ch"/>
    <w:pPr>
      <w:spacing w:after="0" w:line="240" w:lineRule="auto"/>
      <w:ind/>
    </w:pPr>
    <w:rPr>
      <w:rFonts w:ascii="Times New Roman" w:hAnsi="Times New Roman"/>
      <w:sz w:val="20"/>
    </w:rPr>
  </w:style>
  <w:style w:styleId="Style_11_ch" w:type="character">
    <w:name w:val="annotation text"/>
    <w:basedOn w:val="Style_13_ch"/>
    <w:link w:val="Style_11"/>
    <w:rPr>
      <w:rFonts w:ascii="Times New Roman" w:hAnsi="Times New Roman"/>
      <w:sz w:val="20"/>
    </w:rPr>
  </w:style>
  <w:style w:styleId="Style_57" w:type="paragraph">
    <w:name w:val="toc 8"/>
    <w:next w:val="Style_13"/>
    <w:link w:val="Style_5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57_ch" w:type="character">
    <w:name w:val="toc 8"/>
    <w:link w:val="Style_57"/>
    <w:rPr>
      <w:rFonts w:ascii="XO Thames" w:hAnsi="XO Thames"/>
      <w:sz w:val="28"/>
    </w:rPr>
  </w:style>
  <w:style w:styleId="Style_58" w:type="paragraph">
    <w:name w:val="numbered list"/>
    <w:basedOn w:val="Style_5"/>
    <w:link w:val="Style_58_ch"/>
  </w:style>
  <w:style w:styleId="Style_58_ch" w:type="character">
    <w:name w:val="numbered list"/>
    <w:basedOn w:val="Style_5_ch"/>
    <w:link w:val="Style_58"/>
  </w:style>
  <w:style w:styleId="Style_59" w:type="paragraph">
    <w:name w:val="header"/>
    <w:basedOn w:val="Style_13"/>
    <w:link w:val="Style_5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59_ch" w:type="character">
    <w:name w:val="header"/>
    <w:basedOn w:val="Style_13_ch"/>
    <w:link w:val="Style_59"/>
  </w:style>
  <w:style w:styleId="Style_60" w:type="paragraph">
    <w:name w:val="FollowedHyperlink"/>
    <w:link w:val="Style_60_ch"/>
    <w:rPr>
      <w:color w:val="800080"/>
      <w:u w:val="single"/>
    </w:rPr>
  </w:style>
  <w:style w:styleId="Style_60_ch" w:type="character">
    <w:name w:val="FollowedHyperlink"/>
    <w:link w:val="Style_60"/>
    <w:rPr>
      <w:color w:val="800080"/>
      <w:u w:val="single"/>
    </w:rPr>
  </w:style>
  <w:style w:styleId="Style_61" w:type="paragraph">
    <w:name w:val="toc 5"/>
    <w:next w:val="Style_13"/>
    <w:link w:val="Style_6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61_ch" w:type="character">
    <w:name w:val="toc 5"/>
    <w:link w:val="Style_61"/>
    <w:rPr>
      <w:rFonts w:ascii="XO Thames" w:hAnsi="XO Thames"/>
      <w:sz w:val="28"/>
    </w:rPr>
  </w:style>
  <w:style w:styleId="Style_62" w:type="paragraph">
    <w:name w:val="Body Text 2"/>
    <w:basedOn w:val="Style_13"/>
    <w:link w:val="Style_62_ch"/>
    <w:pPr>
      <w:widowControl w:val="0"/>
      <w:spacing w:after="0" w:line="360" w:lineRule="auto"/>
      <w:ind/>
      <w:jc w:val="both"/>
    </w:pPr>
    <w:rPr>
      <w:rFonts w:ascii="Arial" w:hAnsi="Arial"/>
      <w:spacing w:val="-3"/>
    </w:rPr>
  </w:style>
  <w:style w:styleId="Style_62_ch" w:type="character">
    <w:name w:val="Body Text 2"/>
    <w:basedOn w:val="Style_13_ch"/>
    <w:link w:val="Style_62"/>
    <w:rPr>
      <w:rFonts w:ascii="Arial" w:hAnsi="Arial"/>
      <w:spacing w:val="-3"/>
    </w:rPr>
  </w:style>
  <w:style w:styleId="Style_63" w:type="paragraph">
    <w:name w:val="Subtitle"/>
    <w:next w:val="Style_13"/>
    <w:link w:val="Style_6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63_ch" w:type="character">
    <w:name w:val="Subtitle"/>
    <w:link w:val="Style_63"/>
    <w:rPr>
      <w:rFonts w:ascii="XO Thames" w:hAnsi="XO Thames"/>
      <w:i w:val="1"/>
      <w:sz w:val="24"/>
    </w:rPr>
  </w:style>
  <w:style w:styleId="Style_64" w:type="paragraph">
    <w:name w:val="Title"/>
    <w:next w:val="Style_13"/>
    <w:link w:val="Style_6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64_ch" w:type="character">
    <w:name w:val="Title"/>
    <w:link w:val="Style_64"/>
    <w:rPr>
      <w:rFonts w:ascii="XO Thames" w:hAnsi="XO Thames"/>
      <w:b w:val="1"/>
      <w:caps w:val="1"/>
      <w:sz w:val="40"/>
    </w:rPr>
  </w:style>
  <w:style w:styleId="Style_65" w:type="paragraph">
    <w:name w:val="heading 4"/>
    <w:basedOn w:val="Style_13"/>
    <w:next w:val="Style_13"/>
    <w:link w:val="Style_65_ch"/>
    <w:uiPriority w:val="9"/>
    <w:qFormat/>
    <w:pPr>
      <w:keepNext w:val="1"/>
      <w:widowControl w:val="0"/>
      <w:spacing w:after="0" w:line="360" w:lineRule="auto"/>
      <w:ind/>
      <w:outlineLvl w:val="3"/>
    </w:pPr>
    <w:rPr>
      <w:rFonts w:ascii="Arial" w:hAnsi="Arial"/>
      <w:b w:val="1"/>
      <w:sz w:val="28"/>
    </w:rPr>
  </w:style>
  <w:style w:styleId="Style_65_ch" w:type="character">
    <w:name w:val="heading 4"/>
    <w:basedOn w:val="Style_13_ch"/>
    <w:link w:val="Style_65"/>
    <w:rPr>
      <w:rFonts w:ascii="Arial" w:hAnsi="Arial"/>
      <w:b w:val="1"/>
      <w:sz w:val="28"/>
    </w:rPr>
  </w:style>
  <w:style w:styleId="Style_12" w:type="paragraph">
    <w:name w:val="heading 2"/>
    <w:basedOn w:val="Style_13"/>
    <w:next w:val="Style_13"/>
    <w:link w:val="Style_12_ch"/>
    <w:uiPriority w:val="9"/>
    <w:qFormat/>
    <w:pPr>
      <w:keepNext w:val="1"/>
      <w:spacing w:after="120" w:before="240" w:line="360" w:lineRule="auto"/>
      <w:ind/>
      <w:outlineLvl w:val="1"/>
    </w:pPr>
    <w:rPr>
      <w:rFonts w:ascii="Arial" w:hAnsi="Arial"/>
      <w:b w:val="1"/>
      <w:sz w:val="28"/>
    </w:rPr>
  </w:style>
  <w:style w:styleId="Style_12_ch" w:type="character">
    <w:name w:val="heading 2"/>
    <w:basedOn w:val="Style_13_ch"/>
    <w:link w:val="Style_12"/>
    <w:rPr>
      <w:rFonts w:ascii="Arial" w:hAnsi="Arial"/>
      <w:b w:val="1"/>
      <w:sz w:val="28"/>
    </w:rPr>
  </w:style>
  <w:style w:styleId="Style_66" w:type="paragraph">
    <w:name w:val="heading 6"/>
    <w:basedOn w:val="Style_13"/>
    <w:next w:val="Style_13"/>
    <w:link w:val="Style_66_ch"/>
    <w:uiPriority w:val="9"/>
    <w:qFormat/>
    <w:pPr>
      <w:keepNext w:val="1"/>
      <w:widowControl w:val="0"/>
      <w:spacing w:after="58" w:line="360" w:lineRule="auto"/>
      <w:ind/>
      <w:outlineLvl w:val="5"/>
    </w:pPr>
    <w:rPr>
      <w:rFonts w:ascii="Arial" w:hAnsi="Arial"/>
      <w:b w:val="1"/>
      <w:sz w:val="24"/>
    </w:rPr>
  </w:style>
  <w:style w:styleId="Style_66_ch" w:type="character">
    <w:name w:val="heading 6"/>
    <w:basedOn w:val="Style_13_ch"/>
    <w:link w:val="Style_66"/>
    <w:rPr>
      <w:rFonts w:ascii="Arial" w:hAnsi="Arial"/>
      <w:b w:val="1"/>
      <w:sz w:val="24"/>
    </w:rPr>
  </w:style>
  <w:style w:default="1" w:styleId="Style_1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10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6.png" Type="http://schemas.openxmlformats.org/officeDocument/2006/relationships/image"/>
  <Relationship Id="rId6" Target="media/5.jpeg" Type="http://schemas.openxmlformats.org/officeDocument/2006/relationships/image"/>
  <Relationship Id="rId14" Target="footnotes.xml" Type="http://schemas.openxmlformats.org/officeDocument/2006/relationships/footnotes"/>
  <Relationship Id="rId13" Target="theme/theme1.xml" Type="http://schemas.openxmlformats.org/officeDocument/2006/relationships/theme"/>
  <Relationship Id="rId4" Target="media/3.jpeg" Type="http://schemas.openxmlformats.org/officeDocument/2006/relationships/image"/>
  <Relationship Id="rId3" Target="media/2.jpeg" Type="http://schemas.openxmlformats.org/officeDocument/2006/relationships/image"/>
  <Relationship Id="rId12" Target="webSettings.xml" Type="http://schemas.openxmlformats.org/officeDocument/2006/relationships/webSettings"/>
  <Relationship Id="rId10" Target="styles.xml" Type="http://schemas.openxmlformats.org/officeDocument/2006/relationships/styles"/>
  <Relationship Id="rId5" Target="media/4.jpeg" Type="http://schemas.openxmlformats.org/officeDocument/2006/relationships/image"/>
  <Relationship Id="rId11" Target="stylesWithEffects.xml" Type="http://schemas.microsoft.com/office/2007/relationships/stylesWithEffects"/>
  <Relationship Id="rId8" Target="fontTable.xml" Type="http://schemas.openxmlformats.org/officeDocument/2006/relationships/fontTable"/>
  <Relationship Id="rId16" Target="numbering.xml" Type="http://schemas.openxmlformats.org/officeDocument/2006/relationships/numbering"/>
  <Relationship Id="rId2" Target="media/1.png" Type="http://schemas.openxmlformats.org/officeDocument/2006/relationships/image"/>
  <Relationship Id="rId9" Target="settings.xml" Type="http://schemas.openxmlformats.org/officeDocument/2006/relationships/settings"/>
  <Relationship Id="rId15" Target="endnotes.xml" Type="http://schemas.openxmlformats.org/officeDocument/2006/relationships/endnotes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2024-02-04T14:32:59Z</dcterms:modified>
</cp:coreProperties>
</file>