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after="0" w:line="276" w:lineRule="auto"/>
        <w:widowControl w:val="off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</w:rPr>
      </w:r>
      <w:r/>
    </w:p>
    <w:p>
      <w:pPr>
        <w:spacing w:after="0" w:line="276" w:lineRule="auto"/>
        <w:widowControl w:val="off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</w:rPr>
      </w:r>
      <w:r/>
    </w:p>
    <w:p>
      <w:pPr>
        <w:spacing w:after="0" w:line="276" w:lineRule="auto"/>
        <w:widowControl w:val="off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</w:rPr>
      </w:r>
      <w:r/>
    </w:p>
    <w:p>
      <w:pPr>
        <w:spacing w:after="0" w:line="276" w:lineRule="auto"/>
        <w:widowControl w:val="off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</w:rPr>
      </w:r>
      <w:r/>
    </w:p>
    <w:p>
      <w:pPr>
        <w:spacing w:after="0" w:line="276" w:lineRule="auto"/>
        <w:widowControl w:val="off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Arial" w:hAnsi="Arial" w:eastAsia="Arial" w:cs="Arial"/>
        </w:rPr>
      </w:r>
      <w:r/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jc w:val="right"/>
        <w:spacing w:after="0" w:line="360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72"/>
          <w:szCs w:val="7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56"/>
          <w:szCs w:val="56"/>
        </w:rPr>
      </w:pPr>
      <w:r>
        <w:rPr>
          <w:rFonts w:ascii="Times New Roman" w:hAnsi="Times New Roman" w:eastAsia="Times New Roman" w:cs="Times New Roman"/>
          <w:sz w:val="56"/>
          <w:szCs w:val="56"/>
        </w:rPr>
        <w:t xml:space="preserve">КОНКУРСНОЕ ЗАДАНИЕ КОМПЕТЕНЦИИ</w:t>
      </w:r>
      <w:r/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56"/>
          <w:szCs w:val="56"/>
        </w:rPr>
        <w:t xml:space="preserve">«ИНЖЕНЕРИЯ КОСМИЧЕСКИХ СИСТЕМ»</w:t>
      </w:r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72"/>
          <w:szCs w:val="72"/>
        </w:rPr>
      </w:r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72"/>
          <w:szCs w:val="72"/>
        </w:rPr>
      </w:r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72"/>
          <w:szCs w:val="72"/>
        </w:rPr>
      </w:r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sz w:val="72"/>
          <w:szCs w:val="72"/>
        </w:rPr>
      </w:pPr>
      <w:r>
        <w:rPr>
          <w:rFonts w:ascii="Times New Roman" w:hAnsi="Times New Roman" w:eastAsia="Times New Roman" w:cs="Times New Roman"/>
          <w:sz w:val="72"/>
          <w:szCs w:val="72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 xml:space="preserve">2023г.</w:t>
      </w:r>
      <w:r/>
    </w:p>
    <w:p>
      <w:pPr>
        <w:ind w:firstLine="709"/>
        <w:jc w:val="both"/>
        <w:spacing w:after="0" w:line="36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  <w:r/>
    </w:p>
    <w:p>
      <w:pPr>
        <w:spacing w:after="0" w:line="360" w:lineRule="auto"/>
        <w:widowControl w:val="off"/>
        <w:rPr>
          <w:rFonts w:ascii="Times New Roman" w:hAnsi="Times New Roman" w:eastAsia="Times New Roman" w:cs="Times New Roman"/>
          <w:color w:val="000000"/>
          <w:sz w:val="19"/>
          <w:szCs w:val="19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19"/>
          <w:szCs w:val="19"/>
        </w:rPr>
      </w:r>
      <w:r/>
    </w:p>
    <w:p>
      <w:pPr>
        <w:ind w:left="360"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Конкурсное задание включает в себя следующие разделы:</w:t>
      </w:r>
      <w:r/>
    </w:p>
    <w:sdt>
      <w:sdtPr>
        <w15:appearance w15:val="boundingBox"/>
        <w:id w:val="1022667738"/>
        <w:docPartObj>
          <w:docPartGallery w:val="Table of Contents"/>
          <w:docPartUnique w:val="true"/>
        </w:docPartObj>
        <w:rPr>
          <w:rFonts w:ascii="Times New Roman" w:hAnsi="Times New Roman" w:cs="Times New Roman"/>
          <w:sz w:val="28"/>
          <w:szCs w:val="28"/>
        </w:rPr>
      </w:sdtPr>
      <w:sdtContent>
        <w:p>
          <w:pPr>
            <w:spacing w:after="0" w:line="360" w:lineRule="auto"/>
            <w:tabs>
              <w:tab w:val="right" w:pos="9825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ascii="Times New Roman" w:hAnsi="Times New Roman" w:cs="Times New Roman"/>
              <w:sz w:val="28"/>
              <w:szCs w:val="28"/>
            </w:rPr>
            <w:instrText xml:space="preserve"> TOC \h \u \z </w:instrText>
          </w:r>
          <w:r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tooltip="#_heading=h.gjdgxs" w:anchor="_heading=h.gjdgxs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 ОСНОВНЫЕ ТРЕБОВАНИЯ КОМПЕТЕНЦИИ</w:t>
            </w:r>
          </w:hyperlink>
          <w:r/>
          <w:hyperlink w:tooltip="#_heading=h.gjdgxs" w:anchor="_heading=h.gjdgxs" w:history="1">
            <w:r>
              <w:rPr>
                <w:rFonts w:ascii="Times New Roman" w:hAnsi="Times New Roman" w:eastAsia="Arial" w:cs="Times New Roman"/>
                <w:color w:val="000000"/>
                <w:sz w:val="28"/>
                <w:szCs w:val="28"/>
              </w:rPr>
              <w:tab/>
              <w:t xml:space="preserve">2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30j0zll" w:anchor="_heading=h.30j0zll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1.1. ОБЩИЕ СВЕДЕНИЯ О ТРЕБОВАНИЯХ КОМПЕТЕНЦИИ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2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3znysh7" w:anchor="_heading=h.3znysh7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1.2. ПЕРЕЧЕНЬ ПРОФЕССИОНАЛЬНЫХ ЗАДАЧ СПЕЦИАЛИСТА ПО КОМПЕТЕНЦИИ «Инженерия космических систем»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2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2et92p0" w:anchor="_heading=h.2et92p0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1.3. ТРЕБОВАНИЯ К СХЕМЕ ОЦЕНКИ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4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tyjcwt" w:anchor="_heading=h.tyjcwt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1.4. СПЕЦИФИКАЦИЯ ОЦЕНКИ КОМПЕТЕНЦИИ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4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3dy6vkm" w:anchor="_heading=h.3dy6vkm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1.5.2. Структура модулей конкурсного задания (инвариант/вариатив)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7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4d34og8" w:anchor="_heading=h.4d34og8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2. СПЕЦИАЛЬНЫЕ ПРАВИЛА КОМПЕТЕНЦИИ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8</w:t>
            </w:r>
          </w:hyperlink>
          <w:r/>
          <w:r/>
        </w:p>
        <w:p>
          <w:pPr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2s8eyo1" w:anchor="_heading=h.2s8eyo1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2.1. Личный инструмент конкурсанта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ab/>
              <w:t xml:space="preserve">8</w:t>
            </w:r>
          </w:hyperlink>
          <w:r/>
          <w:r/>
        </w:p>
        <w:p>
          <w:pPr>
            <w:spacing w:after="0" w:line="360" w:lineRule="auto"/>
            <w:tabs>
              <w:tab w:val="right" w:pos="9825" w:leader="none"/>
            </w:tabs>
            <w:rPr>
              <w:rFonts w:ascii="Times New Roman" w:hAnsi="Times New Roman" w:cs="Times New Roman"/>
              <w:color w:val="000000"/>
              <w:sz w:val="28"/>
              <w:szCs w:val="2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/>
          <w:hyperlink w:tooltip="#_heading=h.3rdcrjn" w:anchor="_heading=h.3rdcrjn" w:history="1"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  <w:t xml:space="preserve">3. Приложения</w:t>
            </w:r>
          </w:hyperlink>
          <w:r/>
          <w:hyperlink w:tooltip="#_heading=h.3rdcrjn" w:anchor="_heading=h.3rdcrjn" w:history="1">
            <w:r>
              <w:rPr>
                <w:rFonts w:ascii="Times New Roman" w:hAnsi="Times New Roman" w:eastAsia="Arial" w:cs="Times New Roman"/>
                <w:color w:val="000000"/>
                <w:sz w:val="28"/>
                <w:szCs w:val="28"/>
              </w:rPr>
              <w:tab/>
              <w:t xml:space="preserve">8</w:t>
            </w:r>
          </w:hyperlink>
          <w:r/>
          <w:r/>
        </w:p>
        <w:p>
          <w:pPr>
            <w:ind w:hanging="360"/>
            <w:jc w:val="both"/>
            <w:spacing w:after="0" w:line="360" w:lineRule="auto"/>
            <w:tabs>
              <w:tab w:val="left" w:pos="142" w:leader="none"/>
              <w:tab w:val="right" w:pos="9639" w:leader="none"/>
            </w:tabs>
            <w:rPr>
              <w:rFonts w:ascii="Times New Roman" w:hAnsi="Times New Roman" w:eastAsia="Times New Roman" w:cs="Times New Roman"/>
              <w:color w:val="000000"/>
              <w:sz w:val="24"/>
              <w:szCs w:val="24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/>
        </w:p>
      </w:sdtContent>
    </w:sdt>
    <w:p>
      <w:pPr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 w:type="page" w:clear="all"/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ИСПОЛЬЗУЕМЫЕ СОКРАЩЕНИЯ</w:t>
      </w:r>
      <w:r/>
    </w:p>
    <w:tbl>
      <w:tblPr>
        <w:tblStyle w:val="959"/>
        <w:tblW w:w="0" w:type="auto"/>
        <w:tblLook w:val="04A0" w:firstRow="1" w:lastRow="0" w:firstColumn="1" w:lastColumn="0" w:noHBand="0" w:noVBand="1"/>
      </w:tblPr>
      <w:tblGrid>
        <w:gridCol w:w="4649"/>
        <w:gridCol w:w="4980"/>
      </w:tblGrid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/>
            <w:bookmarkStart w:id="0" w:name="undefined"/>
            <w:r/>
            <w:bookmarkEnd w:id="0"/>
            <w:r>
              <w:rPr>
                <w:sz w:val="28"/>
                <w:szCs w:val="28"/>
              </w:rPr>
              <w:t xml:space="preserve">БКС – бортовая кабельная сеть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РКК – ракетно-космический комплекс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РКО – ракетно-космическая отрасль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БС – батареи солнечные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БКУ – бортовой комплекс управления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РКП – ракетно-космическая промышленность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БФ – батареи фотоэлектрические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РН – ракета-носитель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ВК – визуальный контроль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РЭА – радиоэлектронная аппаратура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ВУЗ – высшее учебное заведение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СОО – средняя околоземная орбита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ЗАО - задания альтернативных ответов (да/нет)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СРУП - система раскрытия и управления поворотом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ГЭ – главный эксперт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КЗ – конкурсное задание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ДЗЗ – дистанционное зондирование Земли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ТЗ – техническое задание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ВЧ – высокая час</w:t>
            </w:r>
            <w:r>
              <w:rPr>
                <w:sz w:val="28"/>
                <w:szCs w:val="28"/>
              </w:rPr>
              <w:t xml:space="preserve">тота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ТК – требования компетенции 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ИК – измерительный контроль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ТУ – технические условия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ИКТ</w:t>
            </w:r>
            <w:r>
              <w:rPr>
                <w:b/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 xml:space="preserve">изделия космической техники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ТЭ –технический эксперт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  <w:rPr>
                <w:bCs/>
              </w:rPr>
            </w:pPr>
            <w:r>
              <w:rPr>
                <w:sz w:val="28"/>
                <w:szCs w:val="28"/>
              </w:rPr>
              <w:t xml:space="preserve">ИЛ – инфраструктурный лист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УКВ – ультракороткие волны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КА – космический аппарат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ЦУП – центр управления полетами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ТБ и ОТ – техника безопасности и охрана труда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LEO/MEO- низкая или средняя околоземная орбита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КС – космическая система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ППБ –приемно-передающий блок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МКА – малый космический аппарат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ПСК - программные средства контроля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НСК –</w:t>
            </w:r>
            <w:r>
              <w:rPr>
                <w:sz w:val="28"/>
                <w:szCs w:val="28"/>
              </w:rPr>
              <w:t xml:space="preserve"> наземный специальный комплекс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РКД - рабочая конструкторская документация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НКУ – наземный комплекс управления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ПМК - пропорциональный метод контроля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НОО – низкая околоземная орбита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ПН – полезная нагрузка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ОГ– орбитальная группировка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jc w:val="both"/>
              <w:spacing w:line="360" w:lineRule="auto"/>
            </w:pPr>
            <w:r>
              <w:rPr>
                <w:sz w:val="28"/>
                <w:szCs w:val="28"/>
              </w:rPr>
              <w:t xml:space="preserve">ПП – печатная плата</w:t>
            </w:r>
            <w:r/>
          </w:p>
        </w:tc>
      </w:tr>
    </w:tbl>
    <w:p>
      <w:pPr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br w:type="page" w:clear="all"/>
      </w:r>
      <w:r/>
    </w:p>
    <w:p>
      <w:pPr>
        <w:spacing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smallCap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mallCaps/>
          <w:color w:val="000000"/>
          <w:sz w:val="28"/>
          <w:szCs w:val="28"/>
        </w:rPr>
        <w:t xml:space="preserve">1. ОСНОВНЫЕ ТРЕБОВАНИЯ КОМПЕТЕНЦИИ</w:t>
      </w:r>
      <w:r/>
    </w:p>
    <w:p>
      <w:pPr>
        <w:ind w:firstLine="720"/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" w:name="_heading=h.30j0zll"/>
      <w:r/>
      <w:bookmarkEnd w:id="1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1.1. ОБЩИЕ СВЕДЕНИЯ О ТРЕБОВАНИЯХ КОМПЕТЕНЦИИ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/>
      <w:bookmarkStart w:id="2" w:name="_heading=h.1fob9te"/>
      <w:r/>
      <w:bookmarkEnd w:id="2"/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Требования компетенции (ТК) «Инженерии космических систем» определяют знания, умения, навыки и трудовые функции, которые лежат в основе наиболее актуальных требований работо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дателей отрасли.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Требования компетенции являются руководством для подготовки конкурентоспособных, высококвали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фицированных специалистов / рабочих и участия их в конкурсах профессионального мастерства.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Требования комп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768"/>
        <w:ind w:firstLine="720"/>
        <w:jc w:val="both"/>
        <w:spacing w:before="0" w:after="0"/>
        <w:rPr>
          <w:rFonts w:ascii="Times New Roman" w:hAnsi="Times New Roman"/>
          <w:color w:val="000000"/>
          <w:szCs w:val="28"/>
          <w:lang w:val="ru-RU"/>
        </w:rPr>
      </w:pPr>
      <w:r/>
      <w:bookmarkStart w:id="3" w:name="_heading=h.3znysh7"/>
      <w:r/>
      <w:bookmarkEnd w:id="3"/>
      <w:r>
        <w:rPr>
          <w:rFonts w:ascii="Times New Roman" w:hAnsi="Times New Roman"/>
          <w:color w:val="000000"/>
          <w:szCs w:val="28"/>
          <w:lang w:val="ru-RU"/>
        </w:rPr>
        <w:t xml:space="preserve">1.2. ПЕРЕЧЕНЬ ПРОФЕССИОНАЛЬНЫХ ЗАДАЧ СПЕЦИАЛИСТА ПО КОМПЕТЕНЦИИ «</w:t>
      </w:r>
      <w:r>
        <w:rPr>
          <w:rFonts w:ascii="Times New Roman" w:hAnsi="Times New Roman"/>
          <w:szCs w:val="28"/>
          <w:lang w:val="ru-RU"/>
        </w:rPr>
        <w:t xml:space="preserve">Инженерии космических систем</w:t>
      </w:r>
      <w:r>
        <w:rPr>
          <w:rFonts w:ascii="Times New Roman" w:hAnsi="Times New Roman"/>
          <w:color w:val="000000"/>
          <w:szCs w:val="28"/>
          <w:lang w:val="ru-RU"/>
        </w:rPr>
        <w:t xml:space="preserve">»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Перечень ви</w:t>
      </w: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дов профессиональной деятельности, умений, знаний и профессиональных трудовых функций специалиста (из ФГОС/ПС/ЕТКС.) и базируется на требованиях современного рынка труда к данному специалисту</w:t>
      </w:r>
      <w:r/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Таблица №1</w:t>
      </w:r>
      <w:r/>
    </w:p>
    <w:p>
      <w:pPr>
        <w:jc w:val="right"/>
        <w:spacing w:after="0" w:line="240" w:lineRule="auto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Перечень профессиональных задач специалиста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</w:r>
      <w:r/>
    </w:p>
    <w:tbl>
      <w:tblPr>
        <w:tblStyle w:val="1015"/>
        <w:tblW w:w="96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>
        <w:trPr/>
        <w:tc>
          <w:tcPr>
            <w:shd w:val="clear" w:color="auto" w:fill="92d050"/>
            <w:tcW w:w="635" w:type="dxa"/>
            <w:vAlign w:val="center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№ п/п</w:t>
            </w:r>
            <w:r/>
          </w:p>
        </w:tc>
        <w:tc>
          <w:tcPr>
            <w:shd w:val="clear" w:color="auto" w:fill="92d050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Раздел</w:t>
            </w:r>
            <w:r/>
          </w:p>
        </w:tc>
        <w:tc>
          <w:tcPr>
            <w:shd w:val="clear" w:color="auto" w:fill="92d050"/>
            <w:tcW w:w="2184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ffffff"/>
                <w:sz w:val="28"/>
                <w:szCs w:val="28"/>
              </w:rPr>
              <w:t xml:space="preserve">Важность в %</w:t>
            </w:r>
            <w:r/>
          </w:p>
        </w:tc>
      </w:tr>
      <w:tr>
        <w:trPr/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Разработка и реализация на рынках ракет-носителей и ракет космического назначения, обеспечивающих запуски полезной нагрузки на все виды орбит и другие небесные тела с применением современных методов и средств проектирования, 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конструирования, расчетов, мате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матического, физического и компьютерного моделирования, в полной мере удовлетворяющих потребности заказчиков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28,22</w:t>
            </w:r>
            <w:r/>
          </w:p>
        </w:tc>
      </w:tr>
      <w:tr>
        <w:trPr/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76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знать и понимать: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теоретической механики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Инженерная графика в 2D и 3D-пространстве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Система допусков и посадок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проектирования деталей и мелких     сборочных единиц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систем автоматизированного проектирования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ЕСКД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Перечни нормализованных элементов узлов и деталей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Ограничительные сортаме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нты, применяемые в авиационной промышленности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Технические требования, предъявляемые к разрабатываемым деталям и мелким сборочным единицам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76" w:lineRule="auto"/>
              <w:widowControl w:val="off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навыки вычерчивания чертежей деталей в соответствии с требованиями единой системы конструкторской документации 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навыки вычерчивания чертежей мелких сборочных единиц в соответствии с требованиями ЕСКД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перечень рекомендуемых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 авиационной промышленности конструкционных материалов (далее - КМ)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методы электронного моделирования для оформления КД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ограничительные сортаменты по КМ, имеющиеся конструкторско-технологические решения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415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Обеспечение соединений отдельных элементов радиоэлектронной аппаратуры и приборов изделий РКТ, способных сохранять механические и электрические характеристики в заданных пределах под воздействием внешних нагрузок и факторов космического пространства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10,43</w:t>
            </w:r>
            <w:r/>
          </w:p>
        </w:tc>
      </w:tr>
      <w:tr>
        <w:trPr>
          <w:trHeight w:val="5473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 Специалист должен знать и понимать: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Основные положения системы менеджмента качества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охраны труда, промышленной, пожарной и электробезопасности при выполнении монтажных работ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инструкций по эксплуатации инструмента, приспособлений, применяемого оборудования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Основные виды и технология монтажных работ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Наименование и марк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ировка применяемых при монтаже материалов, ЭРЭ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Марки и сечения проводов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Марки и состав припоев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Марки флюсов, их состав и назначение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НТД по подготовке ЭРЭ и проводов к монтажу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НТД по защите интегральных микросхем и полупроводниковых пр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иборов от статического электричества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НТД к формовке, рихтовке выводов ЭРЭ с помощью монтажного инструмента, приспособлений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НТД к луженой поверхности и режимы лужения контактных площадок, выводов ЭРЭ, жил проводов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Способы снятия изоляц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ии и подготовки жил проводов различных марок и сечений</w:t>
            </w:r>
            <w:r/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5985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Читать сборочные, электромонтажные чертежи, схемы, таблицы соединений, простые эскизы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приспособления, инструмент и оборудование для формовки выводов ЭРЭ, обработки монтажных проводов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Выполнять монтажные работы с соблюдением требований нормативной технической документации (НТД) по защите интегральных микросхем и полупроводниковых 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риборов от статического электричества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Выполнять лужение выводов ЭРЭ, жил проводов, контактных площадок печатных плат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Выполнять снятие изоляции с проводов различных марок и сечений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безопасные методы и приемы выполнения работ на применяемом (исполь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зуемом) оборудовании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1227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Разработка, отладка, проверка работоспособности, модификация компьютерного программного обеспечения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17,18</w:t>
            </w:r>
            <w:r/>
          </w:p>
        </w:tc>
      </w:tr>
      <w:tr>
        <w:trPr>
          <w:trHeight w:val="363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 Специалист должен знать и понимать: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Методы и приемы формализации поставленных задач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Языки формализации функциональных спецификаций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Методы и приемы алгоритмизации поставленных задач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Нотации и программное обеспечение для графического отображения алгоритмов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Алгоритмы решения типичных задач, области и способы их применения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Синтаксис выбранного языка программирования, особенности программирования на этом языке, стандартные библиотеки язык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 программирования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Методологии разработки компьютерного программного обеспечения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Методологии и технологии проектирования и использования баз данных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Технологии программирования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Особенности выбранной среды программирования и системы управления базами данных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Компоненты программно-технических архитектур, существующие приложения и интерфейсы взаимодействия с ними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363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методы и приемы формализации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поставленных задач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методы и приемы алгоритмизации поставленных задач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программное обеспечение для графического отображения алгоритмов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алгоритмы решения типовых задач в соответствующих областях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Осуществлять коммуникации с заинтересованными сторонами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выбранные языки программирования для написания программного кода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выбранную среду программирования и средства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системы управления базами данных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возможности имеющейся технической и/или программной архитектуры для написания программного кода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Осуществлять коммуникации с заинтересованными сторонами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2145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Обеспечение качества и надежности космических аппарат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ов и их компонентов путем выполнения слесарно-сборочных работ в соответствии с требованиями конструкторской документации, технологическим процессом и качественными характеристиками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23,93</w:t>
            </w:r>
            <w:r/>
          </w:p>
        </w:tc>
      </w:tr>
      <w:tr>
        <w:trPr>
          <w:trHeight w:val="4507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 Специалист должен знать и понимать: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проектирования, конструирования и производства квантово-оптических систем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работы систем автоматизированного проектирования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метрологии, стандартизации и сертификации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Технический английский язык в об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ъеме, необходимом для взаимодействия и получения информации из зарубежных источников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патентоведения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системы менеджмента качества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Технологии информационной поддержки изделия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Стандарты ракетно-космической промышленности и стандарты организации в области разработки и создания квантово-оптических систем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Основы эргономики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охраны труда, промышленной, пожарной и экологической безопасности, электробезопасности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375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методический аппарат по проектированию квантово-оптических систем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Применять рекомендуемые справочные материалы и ограничительные сортаменты по конструкционным материалам, стандартизованным изделиям, систему предельных отклонений размеров и форм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стандартное программное обеспечение при оформлении конструкторск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ой документации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1890"/>
        </w:trPr>
        <w:tc>
          <w:tcPr>
            <w:shd w:val="clear" w:color="auto" w:fill="bfbfbf"/>
            <w:tcW w:w="63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</w:t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Проверка качества сборки изделий ракетно-космической техники, проводимые в организации-изготовителе, на соответствие требованиям, изложенным в технической и конструкторской документации на испытания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restart"/>
            <w:textDirection w:val="lrTb"/>
            <w:noWrap w:val="false"/>
          </w:tcPr>
          <w:p>
            <w:pPr>
              <w:jc w:val="both"/>
              <w:spacing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20,25</w:t>
            </w:r>
            <w:r/>
          </w:p>
        </w:tc>
      </w:tr>
      <w:tr>
        <w:trPr>
          <w:trHeight w:val="6278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 Специалист должен знать и понимать: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Назначение, конструктивные особенности, принцип действия основных узлов радиоэлектронной аппаратуры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Последовательность сборки и монтажа радиоэлектронных устройств и приборов в объеме выполняемых работ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Методы измерения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 контроля параметров качества сборки несущей конструкции второго уровня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Принципы работы, устройство, технические возможности контрольно-измерительного и диагностического оборудования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Способы электрической проверки радиоэлектронной аппаратуры и приборов 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соответствие техническим требованиям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Правила выполнения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электрорадиоизмерений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, способы и приемы измерения электрических параметров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Виды и типы электрических схем, правила их чтения и составления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Виды брака и способы его предупреждения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Правила оформления технической документации по результатам контроля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к организации рабочего места при выполнении работ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Виды и правила применения средств индивидуальной и коллективной защиты при выполнении 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абот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Требования охраны труда, пожарной, промышленной, экологической безопасности и электробезопасности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  <w:tr>
        <w:trPr>
          <w:trHeight w:val="8400"/>
        </w:trPr>
        <w:tc>
          <w:tcPr>
            <w:shd w:val="clear" w:color="auto" w:fill="bfbfbf"/>
            <w:tcW w:w="635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6810" w:type="dxa"/>
            <w:vAlign w:val="center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Специалист должен уметь: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Читать конструкторскую и технологическую документацию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контрольно-измерительное оборудование для измерения электрических параметров несущей конструкции второго уровня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Использовать диагностическое оборудование для контроля качества монтажных соединений несущей конструкции второго уровня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Выявлять 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фекты сборки и несоответствия параметров несущей конструкции второго уровня заданным в технической документации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Проверять правильность электрических соединений по сложным принципиальным схемам с помощью измерительных приборов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Проверять правильность расклад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ки проводов, кабелей, шлейфов в несущей конструкции второго уровня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Производить контроль изоляции токоведущих частей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Собирать сложную схему измерений электрических параметров несущей конструкции второго уровня</w:t>
            </w:r>
            <w:r/>
          </w:p>
          <w:p>
            <w:pPr>
              <w:ind w:firstLine="720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Оформлять отчетную документацию о выполненных 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онтрольно-измерительных работах</w:t>
            </w:r>
            <w:r/>
          </w:p>
        </w:tc>
        <w:tc>
          <w:tcPr>
            <w:shd w:val="clear" w:color="auto" w:fill="auto"/>
            <w:tcW w:w="2184" w:type="dxa"/>
            <w:vAlign w:val="center"/>
            <w:vMerge w:val="continue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/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vertAlign w:val="subscript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vertAlign w:val="subscript"/>
        </w:rPr>
        <w:t xml:space="preserve">Соответствует ФГОС СПО и ПС, указанных в </w:t>
      </w:r>
      <w:hyperlink r:id="rId12" w:tooltip="https://disk.yandex.ru/i/VkK5WzYbUs3JNg" w:history="1">
        <w:r>
          <w:rPr>
            <w:rStyle w:val="958"/>
            <w:rFonts w:ascii="Times New Roman" w:hAnsi="Times New Roman" w:eastAsia="Times New Roman" w:cs="Times New Roman"/>
            <w:b/>
            <w:i/>
            <w:sz w:val="28"/>
            <w:szCs w:val="28"/>
            <w:vertAlign w:val="subscript"/>
          </w:rPr>
          <w:t xml:space="preserve">Описании компетенции</w:t>
        </w:r>
      </w:hyperlink>
      <w:r/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768"/>
        <w:ind w:firstLine="709"/>
        <w:jc w:val="both"/>
        <w:spacing w:before="0" w:after="0"/>
        <w:rPr>
          <w:rFonts w:ascii="Times New Roman" w:hAnsi="Times New Roman"/>
          <w:szCs w:val="28"/>
          <w:lang w:val="ru-RU"/>
        </w:rPr>
      </w:pPr>
      <w:r/>
      <w:bookmarkStart w:id="4" w:name="_heading=h.2et92p0"/>
      <w:r/>
      <w:bookmarkEnd w:id="4"/>
      <w:r>
        <w:rPr>
          <w:rFonts w:ascii="Times New Roman" w:hAnsi="Times New Roman"/>
          <w:color w:val="000000"/>
          <w:sz w:val="24"/>
          <w:lang w:val="ru-RU"/>
        </w:rPr>
        <w:t xml:space="preserve">1</w:t>
      </w:r>
      <w:r>
        <w:rPr>
          <w:rFonts w:ascii="Times New Roman" w:hAnsi="Times New Roman"/>
          <w:color w:val="000000"/>
          <w:szCs w:val="28"/>
          <w:lang w:val="ru-RU"/>
        </w:rPr>
        <w:t xml:space="preserve">.3. ТРЕБОВАНИЯ К СХЕМЕ ОЦЕНКИ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Сумма баллов, присуждаемых по каждому аспекту, должна попадать в диапазон баллов, определенных для каждо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го раздела компетенции, обозначенных в требованиях и указанных в таблице №2.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  <w:t xml:space="preserve">Таблица №2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Матрица пересчета требований компетенции в критерии оценки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</w:r>
      <w:r/>
    </w:p>
    <w:tbl>
      <w:tblPr>
        <w:tblStyle w:val="1016"/>
        <w:tblW w:w="9638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141"/>
        <w:gridCol w:w="246"/>
        <w:gridCol w:w="748"/>
        <w:gridCol w:w="883"/>
        <w:gridCol w:w="870"/>
        <w:gridCol w:w="883"/>
        <w:gridCol w:w="883"/>
        <w:gridCol w:w="897"/>
        <w:gridCol w:w="1113"/>
        <w:gridCol w:w="1986"/>
      </w:tblGrid>
      <w:tr>
        <w:trPr>
          <w:jc w:val="center"/>
          <w:trHeight w:val="1538"/>
        </w:trPr>
        <w:tc>
          <w:tcPr>
            <w:shd w:val="clear" w:color="auto" w:fill="92d050"/>
            <w:tcW w:w="988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</w:rPr>
            </w:pPr>
            <w:r>
              <w:rPr>
                <w:b/>
              </w:rPr>
            </w:r>
            <w:r/>
          </w:p>
        </w:tc>
        <w:tc>
          <w:tcPr>
            <w:gridSpan w:val="9"/>
            <w:shd w:val="clear" w:color="auto" w:fill="92d050"/>
            <w:tcW w:w="6664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Критерий/Модуль</w:t>
            </w:r>
            <w:r/>
          </w:p>
        </w:tc>
        <w:tc>
          <w:tcPr>
            <w:shd w:val="clear" w:color="auto" w:fill="92d050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раздел ТРЕБОВАНИЙ КОМПЕТЕНЦИИ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Разделы ТРЕБОВАНИЙ КОМПЕТЕНЦИИ</w:t>
            </w:r>
            <w:r/>
          </w:p>
        </w:tc>
        <w:tc>
          <w:tcPr>
            <w:shd w:val="clear" w:color="auto" w:fill="92d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A</w:t>
            </w:r>
            <w:r/>
          </w:p>
        </w:tc>
        <w:tc>
          <w:tcPr>
            <w:shd w:val="clear" w:color="auto" w:fill="00b050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Б</w:t>
            </w:r>
            <w:r/>
          </w:p>
        </w:tc>
        <w:tc>
          <w:tcPr>
            <w:shd w:val="clear" w:color="auto" w:fill="00b050"/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В</w:t>
            </w:r>
            <w:r/>
          </w:p>
        </w:tc>
        <w:tc>
          <w:tcPr>
            <w:shd w:val="clear" w:color="auto" w:fill="00b050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Г</w:t>
            </w:r>
            <w:r/>
          </w:p>
        </w:tc>
        <w:tc>
          <w:tcPr>
            <w:shd w:val="clear" w:color="auto" w:fill="00b050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Д</w:t>
            </w:r>
            <w:r/>
          </w:p>
        </w:tc>
        <w:tc>
          <w:tcPr>
            <w:shd w:val="clear" w:color="auto" w:fill="00b050"/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Е</w:t>
            </w:r>
            <w:r/>
          </w:p>
        </w:tc>
        <w:tc>
          <w:tcPr>
            <w:shd w:val="clear" w:color="auto" w:fill="00b050"/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Ж</w:t>
            </w:r>
            <w:r/>
          </w:p>
        </w:tc>
        <w:tc>
          <w:tcPr>
            <w:shd w:val="clear" w:color="auto" w:fill="00b050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widowControl w:val="off"/>
              <w:rPr>
                <w:b/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b/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1</w:t>
            </w:r>
            <w:r/>
          </w:p>
        </w:tc>
        <w:tc>
          <w:tcPr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5,60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3,30</w:t>
            </w:r>
            <w:r/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6,25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8,50</w:t>
            </w:r>
            <w:r/>
          </w:p>
        </w:tc>
        <w:tc>
          <w:tcPr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4,50</w:t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28,15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widowControl w:val="off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2</w:t>
            </w:r>
            <w:r/>
          </w:p>
        </w:tc>
        <w:tc>
          <w:tcPr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0,80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0,50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3,75</w:t>
            </w:r>
            <w:r/>
          </w:p>
        </w:tc>
        <w:tc>
          <w:tcPr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5,00</w:t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1,00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11,05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widowControl w:val="off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3</w:t>
            </w:r>
            <w:r/>
          </w:p>
        </w:tc>
        <w:tc>
          <w:tcPr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5,50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0,50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7,50</w:t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8,00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21,50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widowControl w:val="off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4</w:t>
            </w:r>
            <w:r/>
          </w:p>
        </w:tc>
        <w:tc>
          <w:tcPr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6,20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4,70</w:t>
            </w:r>
            <w:r/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3,20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7,00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21,10</w:t>
            </w:r>
            <w:r/>
          </w:p>
        </w:tc>
      </w:tr>
      <w:tr>
        <w:trPr>
          <w:jc w:val="center"/>
          <w:trHeight w:val="50"/>
        </w:trPr>
        <w:tc>
          <w:tcPr>
            <w:gridSpan w:val="2"/>
            <w:shd w:val="clear" w:color="auto" w:fill="92d050"/>
            <w:tcW w:w="1129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spacing w:line="360" w:lineRule="auto"/>
              <w:widowControl w:val="off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</w:r>
            <w:r/>
          </w:p>
        </w:tc>
        <w:tc>
          <w:tcPr>
            <w:shd w:val="clear" w:color="auto" w:fill="00b050"/>
            <w:tcW w:w="24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color w:val="ffffff"/>
                <w:sz w:val="22"/>
                <w:szCs w:val="22"/>
              </w:rPr>
            </w:pPr>
            <w:r>
              <w:rPr>
                <w:b/>
                <w:color w:val="ffffff"/>
                <w:sz w:val="22"/>
                <w:szCs w:val="22"/>
              </w:rPr>
              <w:t xml:space="preserve">5</w:t>
            </w:r>
            <w:r/>
          </w:p>
        </w:tc>
        <w:tc>
          <w:tcPr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2,40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2,00</w:t>
            </w:r>
            <w:r/>
          </w:p>
        </w:tc>
        <w:tc>
          <w:tcPr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6,30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5,50</w:t>
            </w:r>
            <w:r/>
          </w:p>
        </w:tc>
        <w:tc>
          <w:tcPr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-</w:t>
            </w:r>
            <w:r/>
          </w:p>
        </w:tc>
        <w:tc>
          <w:tcPr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2"/>
                <w:szCs w:val="22"/>
              </w:rPr>
              <w:t xml:space="preserve">2,00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18,20</w:t>
            </w:r>
            <w:r/>
          </w:p>
        </w:tc>
      </w:tr>
      <w:tr>
        <w:trPr>
          <w:jc w:val="center"/>
          <w:trHeight w:val="50"/>
        </w:trPr>
        <w:tc>
          <w:tcPr>
            <w:gridSpan w:val="3"/>
            <w:shd w:val="clear" w:color="auto" w:fill="00b050"/>
            <w:tcW w:w="1375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Итого баллов за критерий/модуль</w:t>
            </w:r>
            <w:r/>
          </w:p>
        </w:tc>
        <w:tc>
          <w:tcPr>
            <w:shd w:val="clear" w:color="auto" w:fill="f2f2f2"/>
            <w:tcW w:w="748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15,00</w:t>
            </w:r>
            <w:r/>
          </w:p>
        </w:tc>
        <w:tc>
          <w:tcPr>
            <w:shd w:val="clear" w:color="auto" w:fill="f2f2f2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10,00</w:t>
            </w:r>
            <w:r/>
          </w:p>
        </w:tc>
        <w:tc>
          <w:tcPr>
            <w:shd w:val="clear" w:color="auto" w:fill="f2f2f2"/>
            <w:tcW w:w="870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15,00</w:t>
            </w:r>
            <w:r/>
          </w:p>
        </w:tc>
        <w:tc>
          <w:tcPr>
            <w:shd w:val="clear" w:color="auto" w:fill="f2f2f2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12,75</w:t>
            </w:r>
            <w:r/>
          </w:p>
        </w:tc>
        <w:tc>
          <w:tcPr>
            <w:shd w:val="clear" w:color="auto" w:fill="f2f2f2"/>
            <w:tcW w:w="88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12,25</w:t>
            </w:r>
            <w:r/>
          </w:p>
        </w:tc>
        <w:tc>
          <w:tcPr>
            <w:shd w:val="clear" w:color="auto" w:fill="f2f2f2"/>
            <w:tcW w:w="897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</w:pPr>
            <w:r>
              <w:rPr>
                <w:sz w:val="22"/>
                <w:szCs w:val="22"/>
              </w:rPr>
              <w:t xml:space="preserve">17,00</w:t>
            </w:r>
            <w:r/>
          </w:p>
        </w:tc>
        <w:tc>
          <w:tcPr>
            <w:shd w:val="clear" w:color="auto" w:fill="f2f2f2"/>
            <w:tcW w:w="1113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18,00</w:t>
            </w:r>
            <w:r/>
          </w:p>
        </w:tc>
        <w:tc>
          <w:tcPr>
            <w:shd w:val="clear" w:color="auto" w:fill="f2f2f2"/>
            <w:tcW w:w="1986" w:type="dxa"/>
            <w:vAlign w:val="center"/>
            <w:textDirection w:val="lrTb"/>
            <w:noWrap w:val="false"/>
          </w:tcPr>
          <w:p>
            <w:pPr>
              <w:jc w:val="center"/>
              <w:spacing w:line="36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100</w:t>
            </w:r>
            <w:r/>
          </w:p>
        </w:tc>
      </w:tr>
    </w:tbl>
    <w:p>
      <w:pPr>
        <w:jc w:val="both"/>
        <w:spacing w:after="0" w:line="240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</w:r>
      <w:r/>
    </w:p>
    <w:p>
      <w:pPr>
        <w:ind w:firstLine="709"/>
        <w:keepNext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firstLine="709"/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5" w:name="_heading=h.tyjcwt"/>
      <w:r/>
      <w:bookmarkEnd w:id="5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1.4. СПЕЦИФИКАЦИЯ ОЦЕНКИ КОМПЕТЕНЦИИ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Оценка Конкурсного задания будет основываться на критериях, указанных в таблице №3:</w:t>
      </w:r>
      <w:r/>
    </w:p>
    <w:p>
      <w:pPr>
        <w:ind w:firstLine="709"/>
        <w:jc w:val="right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Таблица №3</w:t>
      </w:r>
      <w:r/>
    </w:p>
    <w:p>
      <w:pPr>
        <w:ind w:firstLine="709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Оценка конкурсного задания</w:t>
      </w:r>
      <w:r/>
    </w:p>
    <w:tbl>
      <w:tblPr>
        <w:tblStyle w:val="1017"/>
        <w:tblW w:w="961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715"/>
        <w:gridCol w:w="3360"/>
      </w:tblGrid>
      <w:tr>
        <w:trPr/>
        <w:tc>
          <w:tcPr>
            <w:gridSpan w:val="2"/>
            <w:shd w:val="clear" w:color="auto" w:fill="92d050"/>
            <w:tcW w:w="625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Критерий</w:t>
            </w:r>
            <w:r/>
          </w:p>
        </w:tc>
        <w:tc>
          <w:tcPr>
            <w:shd w:val="clear" w:color="auto" w:fill="92d050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Методика проверки навыков в критерии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А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Трехмерное проектирование компоновки МКА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ЗАО, ПМК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Б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Автоматизированное проектирование отдельной РЭА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ЗАО, ПМК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В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Алгоритмизация. Программирование служебных систем спутниковой платформы, модуля ПН, ретрансляционной аппаратуры.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ЗАО, ПМК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Г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Разработка и отладка программного кода полной циклограммы работы МКА. Изготовление, сборка, проверка работоспособности сис</w:t>
            </w:r>
            <w:r>
              <w:rPr>
                <w:b/>
                <w:sz w:val="24"/>
                <w:szCs w:val="24"/>
              </w:rPr>
              <w:t xml:space="preserve">тем МКА.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ЗАО, ПМК, ИК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Д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Сборка МКА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ЗАО, ПМК, ИК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Е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Проведение комплекса наземных испытаний МКА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ЗАО, ИК</w:t>
            </w:r>
            <w:r/>
          </w:p>
        </w:tc>
      </w:tr>
      <w:tr>
        <w:trPr/>
        <w:tc>
          <w:tcPr>
            <w:shd w:val="clear" w:color="auto" w:fill="00b050"/>
            <w:tcW w:w="54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 xml:space="preserve">Ж</w:t>
            </w:r>
            <w:r/>
          </w:p>
        </w:tc>
        <w:tc>
          <w:tcPr>
            <w:shd w:val="clear" w:color="auto" w:fill="92d050"/>
            <w:tcW w:w="5715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Решение целевой задачи</w:t>
            </w:r>
            <w:r/>
          </w:p>
        </w:tc>
        <w:tc>
          <w:tcPr>
            <w:shd w:val="clear" w:color="auto" w:fill="auto"/>
            <w:tcW w:w="3360" w:type="dxa"/>
            <w:textDirection w:val="lrTb"/>
            <w:noWrap w:val="false"/>
          </w:tcPr>
          <w:p>
            <w:pPr>
              <w:jc w:val="bot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ВК, ПСК, ПМК, ЗАО</w:t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1.5. КОНКУРСНОЕ ЗАДАНИЕ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Общая продолжительность Конкурсного задания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</w:rPr>
        <w:footnoteReference w:id="2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 22 ч.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Количество конкурсных дней: три дня.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Форма участия – командная работа одновременно 3(трех) участников.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требований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омпетенции.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Оценка знаний участников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1.5.1. Разработка/выбор конкурсного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 (</w:t>
      </w:r>
      <w:hyperlink r:id="rId13" w:tooltip="https://disk.yandex.ru/i/slw3JX8ZI-Mt6Q" w:history="1">
        <w:r>
          <w:rPr>
            <w:rStyle w:val="958"/>
            <w:rFonts w:ascii="Times New Roman" w:hAnsi="Times New Roman" w:eastAsia="Times New Roman" w:cs="Times New Roman"/>
            <w:b/>
            <w:sz w:val="28"/>
            <w:szCs w:val="28"/>
          </w:rPr>
          <w:t xml:space="preserve">Матрица</w:t>
        </w:r>
      </w:hyperlink>
      <w:r>
        <w:rPr>
          <w:rFonts w:ascii="Times New Roman" w:hAnsi="Times New Roman" w:eastAsia="Times New Roman" w:cs="Times New Roman"/>
          <w:b/>
          <w:color w:val="ff0000"/>
          <w:sz w:val="28"/>
          <w:szCs w:val="28"/>
        </w:rPr>
        <w:t xml:space="preserve">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Конкурсное задание состоит из 7(семи) модулей, включает обязательную к выполнению часть (инвариант) – 5 (пять) модулей, и вариативную час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ть – 2 (два) модуля. Общее количество баллов конкурсного задания составляет 100.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Обязательная к выполнению часть (инвариант) выполняется всеми регионами без исключения на всех уровнях чемпионатов.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Количество модулей из вариативной части, выбирается регионо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а, то вариативный(е) модуль(и) формируется регионом самостоятельно под запрос работодателя. При этом, время на выполнение модуля(ей) и количество баллов в критериях оценки по аспектам не меняются.</w:t>
      </w:r>
      <w:r/>
    </w:p>
    <w:p>
      <w:pPr>
        <w:ind w:firstLine="851"/>
        <w:jc w:val="right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Таблица №4</w:t>
      </w:r>
      <w:r/>
    </w:p>
    <w:p>
      <w:pPr>
        <w:ind w:firstLine="851"/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Матрица конкурсного задания</w:t>
      </w:r>
      <w:r/>
    </w:p>
    <w:tbl>
      <w:tblPr>
        <w:tblStyle w:val="1018"/>
        <w:tblW w:w="962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>
        <w:trPr>
          <w:trHeight w:val="1125"/>
        </w:trPr>
        <w:tc>
          <w:tcPr>
            <w:tcW w:w="16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Обобщенная трудовая функция</w:t>
            </w:r>
            <w:r/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Трудовая функция</w:t>
            </w:r>
            <w:r/>
          </w:p>
        </w:tc>
        <w:tc>
          <w:tcPr>
            <w:tcW w:w="18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 документ/ЗУН</w:t>
            </w:r>
            <w:r/>
          </w:p>
        </w:tc>
        <w:tc>
          <w:tcPr>
            <w:tcW w:w="11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Модуль</w:t>
            </w:r>
            <w:r/>
          </w:p>
        </w:tc>
        <w:tc>
          <w:tcPr>
            <w:tcW w:w="2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Константа/</w:t>
            </w:r>
            <w:r>
              <w:rPr>
                <w:sz w:val="24"/>
                <w:szCs w:val="24"/>
              </w:rPr>
              <w:t xml:space="preserve">вариатив</w:t>
            </w:r>
            <w:r/>
          </w:p>
        </w:tc>
        <w:tc>
          <w:tcPr>
            <w:tcW w:w="64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</w:t>
            </w:r>
            <w:r/>
          </w:p>
        </w:tc>
        <w:tc>
          <w:tcPr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</w:t>
            </w:r>
            <w:r/>
          </w:p>
        </w:tc>
      </w:tr>
      <w:tr>
        <w:trPr>
          <w:trHeight w:val="1125"/>
        </w:trPr>
        <w:tc>
          <w:tcPr>
            <w:tcW w:w="162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</w:t>
            </w:r>
            <w:r/>
          </w:p>
        </w:tc>
        <w:tc>
          <w:tcPr>
            <w:tcW w:w="1408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</w:t>
            </w:r>
            <w:r/>
          </w:p>
        </w:tc>
        <w:tc>
          <w:tcPr>
            <w:tcW w:w="185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</w:t>
            </w:r>
            <w:r/>
          </w:p>
        </w:tc>
        <w:tc>
          <w:tcPr>
            <w:tcW w:w="1155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</w:t>
            </w:r>
            <w:r/>
          </w:p>
        </w:tc>
        <w:tc>
          <w:tcPr>
            <w:tcW w:w="2304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</w:t>
            </w:r>
            <w:r/>
          </w:p>
        </w:tc>
        <w:tc>
          <w:tcPr>
            <w:tcW w:w="642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</w:t>
            </w:r>
            <w:r/>
          </w:p>
        </w:tc>
        <w:tc>
          <w:tcPr>
            <w:tcW w:w="639" w:type="dxa"/>
            <w:vAlign w:val="center"/>
            <w:textDirection w:val="lrTb"/>
            <w:noWrap w:val="false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</w:t>
            </w:r>
            <w:r/>
          </w:p>
        </w:tc>
      </w:tr>
    </w:tbl>
    <w:p>
      <w:pPr>
        <w:ind w:firstLine="851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Инструкция по заполнению матрицы конкурсного задания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(Приложение № 1)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6" w:name="_heading=h.3dy6vkm"/>
      <w:r/>
      <w:bookmarkEnd w:id="6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1.5.2. Структура модулей конкурсного задания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настоящее время космические системы (КС)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это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совокупность множества взаимосвязанных средств, предназначенных для решения различных задач комплексом наземных служб с использованием космических ап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паратов. КС включают в себя наземный и космический сегмент. К космическому сегменту относят один или несколько космических аппаратов, выведенных на орбиту Земли для решения целевых функций, связанных с размещенным на МКА модулем полезной нагрузки. Для полн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оценного выполнения таких задач необходима развитая наукоемкая высокотехнологическая индустрия с задействованными высококвалифицированными специалистами, решающими вопросы проектирования, конструирования, производства, проведения испытаний и эксплуатации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зделий ракетной и ракетно-космической техники:</w:t>
      </w:r>
      <w:r/>
    </w:p>
    <w:p>
      <w:pPr>
        <w:numPr>
          <w:ilvl w:val="0"/>
          <w:numId w:val="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средств выведения и двигательных установок;</w:t>
      </w:r>
      <w:r/>
    </w:p>
    <w:p>
      <w:pPr>
        <w:numPr>
          <w:ilvl w:val="0"/>
          <w:numId w:val="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искусственных спутников Земли – малых космических аппаратов и их элементов;</w:t>
      </w:r>
      <w:r/>
    </w:p>
    <w:p>
      <w:pPr>
        <w:numPr>
          <w:ilvl w:val="0"/>
          <w:numId w:val="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наземных технических средств космических комплексов (специальных наземных космических комплексов);</w:t>
      </w:r>
      <w:r/>
    </w:p>
    <w:p>
      <w:pPr>
        <w:numPr>
          <w:ilvl w:val="0"/>
          <w:numId w:val="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комплектующих изделий и элементов для применения в составе космических средств.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Процесс создания изделий космической техники (ИКТ) включает в себя несколько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основных этапов:</w:t>
      </w:r>
      <w:r/>
    </w:p>
    <w:p>
      <w:pPr>
        <w:numPr>
          <w:ilvl w:val="0"/>
          <w:numId w:val="22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Проектирование ИКТ</w:t>
      </w:r>
      <w:r/>
    </w:p>
    <w:p>
      <w:pPr>
        <w:numPr>
          <w:ilvl w:val="0"/>
          <w:numId w:val="22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Конструирование ИКТ</w:t>
      </w:r>
      <w:r/>
    </w:p>
    <w:p>
      <w:pPr>
        <w:numPr>
          <w:ilvl w:val="0"/>
          <w:numId w:val="22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Производство ИКТ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Данное конкурсное задание (КЗ) содержит первый этап создания МКА, где в процессе проектирования космических аппаратов декомпозиция задачи связана с последующей композицией и приводит к конечной цели - созданию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действующей модели МКА, то есть к сборке всех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служебных систем, модуля полезной нагрузки и ретрансляционной аппаратуры. Далее модель МКА проходит проверку на совместимость и реализуемость в целом и на согласованность параметров. Причем процесс согласования может проходить в несколько итераций и, возмо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жно, возникнет необходимость в новой, корректирующей декомпозиции.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Общая задача конкурсантов на данном чемпионате состоит в создании модели спутниковой группировки, управляемой с помощью отдельного компьютера с предустановленным ПО и оборудованием для подк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лючения камеры ДЗЗ (полезной нагрузки спутника) каждого спутника. Общее количество спутников в составе спутниковой группировки равно количеству участвующих команд на чемпионате и реализовавших весь цикл проектирования, изготовления и проведения испытаний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оделей МКА своей команды.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Спроектированная модель спутника собирается командой в условно чистой комнате с соблюдением правил работы и нахождения в ней, используя детали, системы, устройства, элементы крепления, изготовленные собственными силами, а также 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андартные компоненты, входящие в состав набора конструктора спутника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 (рис. 1).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8890" cy="1961515"/>
                <wp:effectExtent l="0" t="0" r="0" b="0"/>
                <wp:docPr id="1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088890" cy="19615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00.7pt;height:154.4pt;mso-wrap-distance-left:0.0pt;mso-wrap-distance-top:0.0pt;mso-wrap-distance-right:0.0pt;mso-wrap-distance-bottom:0.0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firstLine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1 - Общий вид набора конструктора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</w:t>
      </w:r>
      <w:r/>
    </w:p>
    <w:p>
      <w:pPr>
        <w:ind w:firstLine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 стандартного набора компонент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из которых собирается спутник, представлено здесь: </w:t>
      </w:r>
      <w:hyperlink r:id="rId15" w:tooltip="http://orbicraft.sputnix.ru/doku.php" w:history="1">
        <w:r>
          <w:rPr>
            <w:rFonts w:ascii="Times New Roman" w:hAnsi="Times New Roman" w:eastAsia="Times New Roman" w:cs="Times New Roman"/>
            <w:color w:val="002060"/>
            <w:sz w:val="28"/>
            <w:szCs w:val="28"/>
          </w:rPr>
          <w:t xml:space="preserve">http://orbicraft.sputnix.ru/doku.php</w:t>
        </w:r>
      </w:hyperlink>
      <w:r>
        <w:rPr>
          <w:rFonts w:ascii="Times New Roman" w:hAnsi="Times New Roman" w:eastAsia="Times New Roman" w:cs="Times New Roman"/>
          <w:color w:val="002060"/>
          <w:sz w:val="28"/>
          <w:szCs w:val="28"/>
        </w:rPr>
        <w:t xml:space="preserve"> </w:t>
      </w:r>
      <w:hyperlink r:id="rId16" w:tooltip="http://orbicraft.sputnix.ru/doku.php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 </w:t>
        </w:r>
      </w:hyperlink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Далее в описании по умолчанию 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одразумевается наличие набора конструктора спутника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Собранный аппарат должен пройти испытания на специальном стенде полунатурного моделирования и подтвердить свою работоспособность (рис. 2). Возможное описание стенда, в составе которого должн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 быть проведены испытания макета, приводится здесь: </w:t>
      </w:r>
      <w:hyperlink r:id="rId17" w:tooltip="http://sputnix.ru/" w:history="1">
        <w:r>
          <w:rPr>
            <w:rFonts w:ascii="Times New Roman" w:hAnsi="Times New Roman" w:eastAsia="Times New Roman" w:cs="Times New Roman"/>
            <w:color w:val="002060"/>
            <w:sz w:val="28"/>
            <w:szCs w:val="28"/>
          </w:rPr>
          <w:t xml:space="preserve">http://sputnix.ru </w:t>
        </w:r>
      </w:hyperlink>
      <w:r>
        <w:rPr>
          <w:rFonts w:ascii="Times New Roman" w:hAnsi="Times New Roman" w:eastAsia="Times New Roman" w:cs="Times New Roman"/>
          <w:color w:val="002060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left="720" w:right="1930"/>
        <w:jc w:val="center"/>
        <w:spacing w:after="152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803903" cy="2426208"/>
                <wp:effectExtent l="0" t="0" r="0" b="0"/>
                <wp:docPr id="2" name="image1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803903" cy="242620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99.5pt;height:191.0pt;mso-wrap-distance-left:0.0pt;mso-wrap-distance-top:0.0pt;mso-wrap-distance-right:0.0pt;mso-wrap-distance-bottom:0.0pt;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ind w:firstLine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2 - Магнитная рамка (имитатор магнитного поля Земли) с подвесом, имитатор Земли, имитатор Солнца</w:t>
      </w:r>
      <w:r/>
    </w:p>
    <w:p>
      <w:pPr>
        <w:ind w:firstLine="720"/>
        <w:jc w:val="center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Перед выполнением конкурсного задания необходимо выполнить планирование всех производимых видов работ, расчетов, вычислений полным составом команды 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тремя участниками. Команда должна продумать общую концепцию работы, примерное время на выполнение модуля, определить ответственного за его выполнение, распределить обязанности трудовых функций для трех человек и роли по трудовым функциям внутри группы по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онкурсным дням, о чем сделать соответствующий график и внести о отчет (Приложение №2 Отчет о выполнении конкурсного задания). Необходимая информация, документация и программы для выполнения конкурсного задания находятся на рабочем компьютере участника в па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пке на рабочем столе с названием, идентичным дате проведения соревнований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- это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день С-1 чемпионата, пример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: 01_01_2023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(рис.3).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сохранения всех результатов работы на рабочем столе компьютера каждого участника создается папка с названием на английском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языке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Project_номер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рабочего места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(рис. 3), где после нижнего подчеркивания печатается номер команды, полученный при жеребьевке рабочих мест, например,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Project_2. 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Участнику, выполняющего роль конструктора – проектировщика, в этой же папке (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Project_номе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рабочего места)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необходимо создать еще 3 папки:</w:t>
      </w:r>
      <w:r/>
    </w:p>
    <w:p>
      <w:pPr>
        <w:numPr>
          <w:ilvl w:val="0"/>
          <w:numId w:val="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одну с названием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«Для резки»,</w:t>
      </w:r>
      <w:r/>
    </w:p>
    <w:p>
      <w:pPr>
        <w:numPr>
          <w:ilvl w:val="0"/>
          <w:numId w:val="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вторую с названием -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«Для печати»,</w:t>
      </w:r>
      <w:r/>
    </w:p>
    <w:p>
      <w:pPr>
        <w:numPr>
          <w:ilvl w:val="0"/>
          <w:numId w:val="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третью с названием -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«Для фрезеровки»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куда будут сохраняться файлы для дальнейшего изготовления на станке лазерной резки, 3D печати, для рабо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ты на фрезерном станке.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Участником, выполняющим роль системного программиста, на его рабочем компьютере, в корне жесткого диска С(с:) дополнительно создается папка с названием на английском языке: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Project_с_номер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рабочего места»,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которой сохраняются все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проекты кода программиста.  </w:t>
      </w:r>
      <w:r/>
    </w:p>
    <w:p>
      <w:pPr>
        <w:ind w:left="860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right="1378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187952" cy="1469136"/>
                <wp:effectExtent l="0" t="0" r="0" b="0"/>
                <wp:docPr id="3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187952" cy="14691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29.8pt;height:115.7pt;mso-wrap-distance-left:0.0pt;mso-wrap-distance-top:0.0pt;mso-wrap-distance-right:0.0pt;mso-wrap-distance-bottom:0.0pt;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left="860"/>
        <w:spacing w:after="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/>
    </w:p>
    <w:p>
      <w:pPr>
        <w:ind w:left="867" w:right="198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3. Образец созданных папок на рабочем столе компьютера участника</w:t>
      </w:r>
      <w:r/>
    </w:p>
    <w:p>
      <w:pPr>
        <w:ind w:left="860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Важно: файл итогового отчета (Приложение №2) заполняется на компьютере участника, выполняющего роль конструктора-проектировщика, и предоставляется к проверке экспертам группы оценки на площадке. Все файлы должны находиться только в папке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Project_номер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рабо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чего места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(см. Рис. 3)). В итоговом отчете допускаются ссылки на файлы, расположенные в папке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Project_номер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рабочего места.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Проверка экспертами группы оценки файлов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итогового отчета (фотографий, схем, алгоритмов и т.д.), размещенных вне этой папки или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компьютерах других членов команды проводиться не будет.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Немаловажную роль играет внедрение в процесс выполнения работы принципов бережливого производства, т.е. вовлечение участников в процесс оптимизации рабочего пространства с целью минимизации затрат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максимальной ориентации на результат. Во время выполнения конкурсного задания эксперты ежедневно оценивают соблюдение правил техники безопасности и охраны труда (ТБ и ОТ), планировку рабочего места, то есть рациональное пространственное размещение всех эле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ментов оборудования, технологической и организационной оснастки, инвентаря, оборудования и инструментов, расходных материалов, а также пунктуальность, использование инструмента по назначению, экономное расходование ресурсов и материала, работу в индивидуал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ьных средствах защиты (халатах, в перчатках, с респираторами, в бахилах) и с заземлением (когда это необходимо), чистоту и порядок на рабочем месте.   </w:t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А.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Трехмерное проектирование компоновки МКА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модуля: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 8 (восемь) ч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Задание: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Конструктор-проектировщик определяе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общие решения поставленной глобальной задачи, определяется с типом оборудования и программного обеспечения, осуществляет подготовку общего решения чтобы довести выполнение Конкурсного задания до логического завершения. Он осуществляет контроль правильнос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 компоновки 3D модели МКА с точки зрения работы бортовых систем.  При выполнении 3D-сборки необходимо учитывать геометрические характеристики, истинный вес всех элементов конструкции, приборов, датчиков, бортовой кабельной сети (БКС) и др. Для этой цели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 использовать малогабаритные точные весы и возможности программного комплекса трехмерного моделирования. При необходимости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следует выполнить переопределение массы изделий в программе 3D моделирования. При оценке положения центра масс модели МКА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ассовые характеристики БКС не учитываются. Результаты измерений массы составных частей заносятся в отчет (Приложение №2 Отчет о выполнении конкурсного задания)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Разработка 3D модели МКА выполняется в ПО твердотельного моделирования (Компас-3D,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SolidWorks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 проектировании МКА необходимо учитывать возможность дальнейшего изготовления деталей на конкурсной площадке. Для этого выполняется сохранение результатов трехмерного моделирования элементов корпуса спутника, навесного оборудования в форматах файла, нео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бходимого для работы на 3D принтерах (*.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stl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и станке лазерной резки (*.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dxf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 Существует ограничение габаритов изготавливаемых деталей по размеру зон рабочего стола используемого оборудования станков лазерной резки и 3D принтеров. Параметры рабочего матери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ала и размеров рабочих столов и поверхностей этого оборудования указываются за два дня до чемпионата (Для печати: тип пластика, рабочий стол; для резки: материал, рабочее поле лазерного станка).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Функции оператора станка лазерной резки, фрезерного станка вы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полняют технические эксперты. Функции оператора 3D принтера необходимо выполнять самим участникам, определяющим порядок, приоритет, количество, заполнение и др. параметры 3D печати.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 время выполнения этого модуля задания, инженер-конструктор передает тех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ническому эксперту площадки количество, порядок и приоритет на изготовление деталей на станке лазерной резки и на фрезерном станке.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Печать деталей на 3D принтере и резку деталей на станке можно начинать во время выполнения настоящего модуля.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качестве исх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одных данных систем, датчиков, приборов используются предоставленные организаторами соревнований 3D-модели приборов и систем из комплекта набора конструктора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». Геометрические параметры, размеры, элементы крепления и особенности конструкции корпу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са модели МКА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определяются экспертами за два дня до начала чемпионата (входит в 30 % изменений КЗ). Основные возможные варианты корпуса модели МКА показаны на рисунках 4-7.</w:t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32"/>
          <w:szCs w:val="32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362914" cy="2444543"/>
                <wp:effectExtent l="0" t="0" r="0" b="0"/>
                <wp:docPr id="4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362914" cy="24445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64.8pt;height:192.5pt;mso-wrap-distance-left:0.0pt;mso-wrap-distance-top:0.0pt;mso-wrap-distance-right:0.0pt;mso-wrap-distance-bottom:0.0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4 – Корпус модели МКА – в основании квадрат (размер l3 определяют участники, исходя из центровки модели МКА)</w: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296166" cy="2607547"/>
                <wp:effectExtent l="0" t="0" r="0" b="0"/>
                <wp:docPr id="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296166" cy="26075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38.3pt;height:205.3pt;mso-wrap-distance-left:0.0pt;mso-wrap-distance-top:0.0pt;mso-wrap-distance-right:0.0pt;mso-wrap-distance-bottom:0.0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5 – Корпус модели МКА – в основании квадрат</w:t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467232" cy="2603136"/>
                <wp:effectExtent l="0" t="0" r="0" b="0"/>
                <wp:docPr id="6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467232" cy="260313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194.3pt;height:205.0pt;mso-wrap-distance-left:0.0pt;mso-wrap-distance-top:0.0pt;mso-wrap-distance-right:0.0pt;mso-wrap-distance-bottom:0.0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6 – Корпус модели МКА – в основании восьмигранник</w:t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105661" cy="2362589"/>
                <wp:effectExtent l="0" t="0" r="0" b="0"/>
                <wp:docPr id="7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105661" cy="236258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44.5pt;height:186.0pt;mso-wrap-distance-left:0.0pt;mso-wrap-distance-top:0.0pt;mso-wrap-distance-right:0.0pt;mso-wrap-distance-bottom:0.0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7 – Корпус 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одели МКА – в основании восьмигранник</w:t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Возможны комбинирование вариантов корпуса спутника, зафиксированное экспертами за два дня до соревнований (входит в 30% изменений КЗ).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транспортном положении модель МКА должна иметь габаритные размеры в соответствии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 рисунком 9 и определяются экспертами за два дня до начала чемпионата (входит в 30 % изменений КЗ). Габаритные размеры проверяются по 3D-модели и после выноса из чистовой комнаты.</w:t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156" w:right="198" w:firstLine="360"/>
        <w:jc w:val="center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43732" cy="3529357"/>
                <wp:effectExtent l="0" t="0" r="0" b="0"/>
                <wp:docPr id="8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843732" cy="352935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02.7pt;height:277.9pt;mso-wrap-distance-left:0.0pt;mso-wrap-distance-top:0.0pt;mso-wrap-distance-right:0.0pt;mso-wrap-distance-bottom:0.0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8 – Габаритные размеры модели МКА в транспортном положении</w:t>
      </w:r>
      <w:r/>
    </w:p>
    <w:p>
      <w:pPr>
        <w:ind w:left="156" w:right="198" w:firstLine="360"/>
        <w:jc w:val="both"/>
        <w:spacing w:after="87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орпусных панелях допускается делать необходимые вырезы и технологические отверстия. Наличие свободных крепежных отверстий не допускается.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Общая масса собранной модели МКА не должна превышать 7 кг.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Положение центра масс МКА для проведения испытаний на стен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 полунатурного моделирования по осям OX, OY должно быть максимально приближено к нулевым значениям -5&lt;|OX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|&lt;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5, -5&lt;|OY|&lt;5  (допустимое отклонение по этим параметрам не должно превышать -10…+10мм). Допустимое отклонение положения центра масс по оси OZ (ось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вращения) до плоскости крепления аэродинамического подвеса должно быть -35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&lt; OZ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&lt; 0, в пределах от 0 мм до -35 мм.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Начало системы координат модели МКА (точка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материализуется внутренней опорной плоскостью подшипника и точкой расположенной в геометрическом центре окружности диаметром 120 мм.  Ось OZ направлена вертикально вверх, ось OX материализуется прямой, проведенной через центры двух любых противоположных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отверстий посадочного места под подшипник. Ось OY достраивается до правой тройки.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Внешний вид детали посадочного места под подшипник показан на рисунке 9</w:t>
      </w:r>
      <w:r/>
    </w:p>
    <w:p>
      <w:pPr>
        <w:ind w:firstLine="426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48070" cy="1788795"/>
                <wp:effectExtent l="0" t="0" r="0" b="0"/>
                <wp:docPr id="9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/>
                        <pic:nvPr/>
                      </pic:nvPicPr>
                      <pic:blipFill>
                        <a:blip r:embed="rId25"/>
                        <a:srcRect l="0" t="0" r="51642" b="0"/>
                        <a:stretch/>
                      </pic:blipFill>
                      <pic:spPr bwMode="auto">
                        <a:xfrm>
                          <a:off x="0" y="0"/>
                          <a:ext cx="1948070" cy="1788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153.4pt;height:140.8pt;mso-wrap-distance-left:0.0pt;mso-wrap-distance-top:0.0pt;mso-wrap-distance-right:0.0pt;mso-wrap-distance-bottom:0.0pt;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9 – Посадочное место под подшипник</w:t>
      </w:r>
      <w:r/>
    </w:p>
    <w:p>
      <w:pPr>
        <w:ind w:firstLine="426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Внешний вид детали подшипник показан на рисунке 10.</w:t>
      </w:r>
      <w:r/>
    </w:p>
    <w:p>
      <w:pPr>
        <w:ind w:firstLine="426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054225" cy="1842135"/>
                <wp:effectExtent l="0" t="0" r="0" b="0"/>
                <wp:docPr id="10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054225" cy="18421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161.8pt;height:145.0pt;mso-wrap-distance-left:0.0pt;mso-wrap-distance-top:0.0pt;mso-wrap-distance-right:0.0pt;mso-wrap-distance-bottom:0.0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10 – Подшипник</w: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сопряжении деталей запрещено использовать функцию «заблокировать вращение».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3D-модель должна содержать все крепежные элементы.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Отверстия для крепления любых элементов должн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 полностью коррелировать и соответствовать ответным частям присоединяемых деталей.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3D-модели не допускается взаимное вхождение деталей друг в друга (интерференция или пересечение). Допускается наличие интерференции только крепежных элементов в пакете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винт-гайка». Сборка должна быть полностью определена. 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3D-модель МКА должна включать все устройства, системы, приборы и элементы необходимые для выполнения настоящего КЗ;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состав макета МКА должны входить панели батарей солнечных (БС). Крепление панелей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БС должно выполняться на панелях корпуса по осям ±OY или ±OX. Панели БС должны иметь систему раскрытия из транспортного положения в рабочее, при этом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расчековка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должна выполняться механическим способом.  На каждой панели БС должны быть размещены две батар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еи фотоэлектрические (БФ). Раскрытие панелей БС под действием только силы гравитации не допускается. В раскрытом состоянии панели БС должны фиксироваться от обратного складывания и принцип действия фиксатора панелей БС должен быть описан в итоговом отчете.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Панели БС в раскрытом состоянии должны вращаться относительно оси установки, обеспечивая возможность поиска «солнца» - источника света.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состав макета МКА должен входить макет ретрансляционной аппаратуры - приемно-передающий и антенный блок для связи с ф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ункциональной моделью наземного ЦУП. Макет антенного блока должен быть оборудован системой раскрытия из транспортного положения в рабочее, при этом антенна в транспортном положении должна быть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зачекована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расчековка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должна выполняться механическим способо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м. Конструктивную реализацию определяют участники исходя из компоновки макета МКА. Раскрытие антенны должно выполняться в режиме стабилизации в нужной пространственной ориентации.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Бортовая камера, входящая в комплект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должна выполнить функцию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камеры полезной нагрузки и быть расположена таким образом, чтобы выполнить фотографирование имитатора Земли в заданной программной ориентации.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Также необходимо учитывать особенности взаимного расположения отдельных систем, датчиков, устройств; поля и углы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зрения датчиков, их состав и количество для обеспечения работоспособности КА и выполнения поставленной задачи.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выполнения модуля, включая все расчеты, заносятся в приложение отчета в виде снимков экрана, фотографий, презентаций (Приложение №2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тчет о выполнении конкурсного задания). 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Б.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Автоматизированное проектирование отдельной РЭА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модуля: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 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Задание: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Дать название разрабатываемому малому космическому аппарату в формате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R54_ номер команды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в дальнейшем использовать эту аббревиатуру в документации, составить список условных сокращений, используемых в документации.</w:t>
      </w:r>
      <w:r/>
    </w:p>
    <w:p>
      <w:pPr>
        <w:numPr>
          <w:ilvl w:val="0"/>
          <w:numId w:val="2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Разработка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рабочей конструкторской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доку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ментации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 разработать комплект рабочей конструкторской документации, необходимой для однозначного и полного понимания процесса сборки модели МКА в комнате с ограничением доступа и требованием соблюдать правила работ и условия нахождения в условно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чистой комнате класса 100000. Рабочая конструкторская документация разрабатывается на стандартных форматах по выбору участников в соответствии с ЕСКД, принимая во внимание возможность разбиения больших форматов на части при печати на принтере формата А4.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комплект рабочей конструкторской документации должны входить:</w:t>
      </w:r>
      <w:r/>
    </w:p>
    <w:p>
      <w:pPr>
        <w:numPr>
          <w:ilvl w:val="0"/>
          <w:numId w:val="1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чертеж общего вида, где будут представлены название спутника, три вида и изометрия (общий вид) сборки, габаритные размеры; </w:t>
      </w:r>
      <w:r/>
    </w:p>
    <w:p>
      <w:pPr>
        <w:numPr>
          <w:ilvl w:val="0"/>
          <w:numId w:val="1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спецификация; </w:t>
      </w:r>
      <w:r/>
    </w:p>
    <w:p>
      <w:pPr>
        <w:numPr>
          <w:ilvl w:val="0"/>
          <w:numId w:val="1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перечень оборудования, инструмента и материалов;</w:t>
      </w:r>
      <w:r/>
    </w:p>
    <w:p>
      <w:pPr>
        <w:numPr>
          <w:ilvl w:val="0"/>
          <w:numId w:val="1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блок-схема БКС с указанием наименования соединяемых датчиков, номера и длины шлейфа, типа соединителя с указанием контактов 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устройствах и датчиках. Проект БКС должен полностью определять подключение всех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устройств.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numPr>
          <w:ilvl w:val="0"/>
          <w:numId w:val="2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Разработка функционального макета ретрансляционной аппаратуры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Производится на основе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радиомодуля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NRF24L01+ 2.4ГГц, осуществляющего прием и передачу команд с отдельного «наземного» условного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ЦУПа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Ретрансляционная аппаратура состоит из приемо-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передающего блока (ППБ) и антенного блока и кабельной сети.  ППБ, разрабатываемый для МКА, должен включать в себя все компоненты, входящие в перечень ИЛ и обеспечивающие полную его работоспособность. Состоит из:</w:t>
      </w:r>
      <w:r/>
    </w:p>
    <w:p>
      <w:pPr>
        <w:numPr>
          <w:ilvl w:val="0"/>
          <w:numId w:val="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MEGA 2560</w:t>
      </w:r>
      <w:r/>
    </w:p>
    <w:p>
      <w:pPr>
        <w:numPr>
          <w:ilvl w:val="0"/>
          <w:numId w:val="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Shield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/>
    </w:p>
    <w:p>
      <w:pPr>
        <w:numPr>
          <w:ilvl w:val="0"/>
          <w:numId w:val="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Интерфейсная плата с установленными на ней адаптером с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радиомодулем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NRF24L01 и драйвером шагового двигателя</w:t>
      </w:r>
      <w:r/>
    </w:p>
    <w:p>
      <w:pPr>
        <w:numPr>
          <w:ilvl w:val="0"/>
          <w:numId w:val="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Разъемы, контакты</w:t>
      </w:r>
      <w:r/>
    </w:p>
    <w:p>
      <w:pPr>
        <w:numPr>
          <w:ilvl w:val="0"/>
          <w:numId w:val="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Шаговый двигатель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Интерфейсная печатная плата разрабатывается таким образом, чтобы подключение проводов к модулям, сервоприводам, шаговым двигателям было осуществлено только методом пайки (исключить подключение проводов через разъемы типа «папа-мама»)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Антенный блок включае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 в себя:</w:t>
      </w:r>
      <w:r/>
    </w:p>
    <w:p>
      <w:pPr>
        <w:numPr>
          <w:ilvl w:val="0"/>
          <w:numId w:val="1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Устройство раскрытия из транспортного положения в рабочее (раскрытие осуществляется механическим способом с фиксацией в рабочем положении)</w:t>
      </w:r>
      <w:r/>
    </w:p>
    <w:p>
      <w:pPr>
        <w:numPr>
          <w:ilvl w:val="0"/>
          <w:numId w:val="1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Антенный модуль (кабель, антенна 2.4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гГц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разъемы)</w:t>
      </w:r>
      <w:r/>
    </w:p>
    <w:p>
      <w:pPr>
        <w:numPr>
          <w:ilvl w:val="0"/>
          <w:numId w:val="1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Концевой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микровыключатель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для замыкания цепи питания ада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птера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радиомодуля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2.4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гГц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раскрытом (рабочем) положении антенны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ППБ и антенный блок соединяются между собой кабельной сетью.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питания дополнительных систем, установленных на модель МКА используется второй модуль СЭП из состава набора конструктора спутника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2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Разработка функционального макета системы раскрытия и управления поворотом солнечных панелей</w:t>
      </w:r>
      <w:r/>
    </w:p>
    <w:p>
      <w:pPr>
        <w:ind w:left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Функциональный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макет представляет собой систему раскрытия и управления поворотом (СРУП) солнечных панелей, подключаемую к бортовой сети электропитания МКА. Макет должен обладать независимой системой ориентации солнечных панелей, в качестве датчиков использующий нескольк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фоторезисторов. В части, касающейся радиоэлектроники, должен включать в себя следующие элементы:</w:t>
      </w:r>
      <w:r/>
    </w:p>
    <w:p>
      <w:pPr>
        <w:numPr>
          <w:ilvl w:val="0"/>
          <w:numId w:val="3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Mega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2560</w:t>
      </w:r>
      <w:r/>
    </w:p>
    <w:p>
      <w:pPr>
        <w:numPr>
          <w:ilvl w:val="0"/>
          <w:numId w:val="3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Сервоприводы </w:t>
      </w:r>
      <w:r/>
    </w:p>
    <w:p>
      <w:pPr>
        <w:numPr>
          <w:ilvl w:val="0"/>
          <w:numId w:val="3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Фотоэлектрические панели</w:t>
      </w:r>
      <w:r/>
    </w:p>
    <w:p>
      <w:pPr>
        <w:numPr>
          <w:ilvl w:val="0"/>
          <w:numId w:val="3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Фоторезисторы</w:t>
      </w:r>
      <w:r/>
    </w:p>
    <w:p>
      <w:pPr>
        <w:ind w:left="142" w:firstLine="566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2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Разработка печатной платы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Разработка печатной платы для распайки отдельных модулей, драйверов, радиоэлементов осуществляется в специализированном ПО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SprintLayout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или подобным, представленным на конкурсной площадке). В процессе разработки необходимо учитывать истинные размеры радио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элементов, детали крепления печатной платы (ПП), радиоэлементов, радиаторов, разъемов и др. Все элементы ПП, радиоэлементы должны быть закреплены или зафиксированы.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печатной плате должна быть отображена информация о названии ПП, порядковом номере и номи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нале радиоэлементов, параметры входного и выходного напряжения, обозначены контрольные точки измерений и др.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После успешного проектирования печатной платы в специализированном ПО необходимо также сохранить результат работы в формате, необходимом для фрезе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ровки и сверловки печатной платы на фрезерном станке.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Участнику необходимо зафиксировать следующие виды печатной платы: </w:t>
      </w:r>
      <w:r/>
    </w:p>
    <w:p>
      <w:pPr>
        <w:numPr>
          <w:ilvl w:val="0"/>
          <w:numId w:val="1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 стороны радиоэлементов; </w:t>
      </w:r>
      <w:r/>
    </w:p>
    <w:p>
      <w:pPr>
        <w:numPr>
          <w:ilvl w:val="0"/>
          <w:numId w:val="1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 стороны дорожек; </w:t>
      </w:r>
      <w:r/>
    </w:p>
    <w:p>
      <w:pPr>
        <w:numPr>
          <w:ilvl w:val="0"/>
          <w:numId w:val="1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совмещенный вид со стороны дорожек, полигона с расположением радиоэлементов; </w:t>
      </w:r>
      <w:r/>
    </w:p>
    <w:p>
      <w:pPr>
        <w:ind w:left="1428"/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2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Изготовление бортовой кабельной сети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Радиоэлектронщик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схемотехник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выполняет расчет, проектирование и адаптацию с собираемой моделью МКА всех систем и подсистем, устанавливаемых на МКА. При изготовлении бортовой кабельной сети необходимо учитывать требуе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мое количество шлейфов и кабелей, необходимое для их соединения. При этом большинство разъемов для шлейфов (рис. 11) обжимаются с помощью специального приспособления -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кримпера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(англ.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crimp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— обжим,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опрессовка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), а часть кабелей изготавливается путем пайки.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jc w:val="center"/>
        <w:spacing w:after="196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257044" cy="1205484"/>
                <wp:effectExtent l="0" t="0" r="0" b="0"/>
                <wp:docPr id="11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257044" cy="12054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177.7pt;height:94.9pt;mso-wrap-distance-left:0.0pt;mso-wrap-distance-top:0.0pt;mso-wrap-distance-right:0.0pt;mso-wrap-distance-bottom:0.0pt;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11 - Образец шлейфов с разъемами DB-9F(M) под обжимку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основных выполняемых операций:</w:t>
      </w:r>
      <w:r/>
    </w:p>
    <w:p>
      <w:pPr>
        <w:numPr>
          <w:ilvl w:val="0"/>
          <w:numId w:val="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Обжимка шлейфов;</w:t>
      </w:r>
      <w:r/>
    </w:p>
    <w:p>
      <w:pPr>
        <w:numPr>
          <w:ilvl w:val="0"/>
          <w:numId w:val="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Лужение проводов для пайки;</w:t>
      </w:r>
      <w:r/>
    </w:p>
    <w:p>
      <w:pPr>
        <w:numPr>
          <w:ilvl w:val="0"/>
          <w:numId w:val="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Пайка кабелей;</w:t>
      </w:r>
      <w:r/>
    </w:p>
    <w:p>
      <w:pPr>
        <w:numPr>
          <w:ilvl w:val="0"/>
          <w:numId w:val="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Маркировка кабельной сети. </w:t>
      </w:r>
      <w:r/>
    </w:p>
    <w:p>
      <w:pPr>
        <w:numPr>
          <w:ilvl w:val="0"/>
          <w:numId w:val="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Жгутовка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проводов (жгут проводов должен содержать 2 отрезка по 30 мм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термоусадочной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трубки через равные промежутки между ними).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Маркировка каждого жгута проводов согласно составленной конкурсантами блок-схеме и данным из таблицы длин шлейфов. Маркировка производит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ся нанесением перманентным маркером или шариковой ручкой черного или синего цвета на изоляционную ленту светлого оттенка, цифрами, где через дефис указывается номер жгута и длина его в мм (Пример: 1 – 195). Изоляционная лента используется светлого оттенка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(белого или желтого цвета). Ее необходимо обернуть вокруг шлейфа несколько раз посередине жгута с последующей маркировкой.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Конкурсантам необходимо предоставить экспертам промежуточные результаты для фиксирования изготовления кабеля подключения кабеля к БК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У. Усадку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термоусадочной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трубки на контакты разъема производить только после фотографирования экспертами запаянных проводов.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Контроль изготовления бортовой кабельной сети –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фотофиксация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экспертами: </w:t>
      </w:r>
      <w:r/>
    </w:p>
    <w:p>
      <w:pPr>
        <w:numPr>
          <w:ilvl w:val="0"/>
          <w:numId w:val="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 контактов разъема до момента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термоусадки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 каб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еля разъема с усаженной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термоусадкой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Фотофиксация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работоспособности изготовленного кабеля с помощью тестера шлейфов из состава набора конструктора.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основных выполняемых операций:</w:t>
      </w:r>
      <w:r/>
    </w:p>
    <w:p>
      <w:pPr>
        <w:numPr>
          <w:ilvl w:val="0"/>
          <w:numId w:val="14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кинематические схемы всех механических устройств модели космического аппарата.</w:t>
      </w:r>
      <w:r/>
    </w:p>
    <w:p>
      <w:pPr>
        <w:numPr>
          <w:ilvl w:val="0"/>
          <w:numId w:val="14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полную электрическую схему всех систем и устройств модели космического аппарата с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распиновкой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разъемов и контактов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выполнения модуля заносятся в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тоговый отчет в виде снимков экрана, фотографий, презентаций (Приложение №2 Отчет о выполнении конкурсного задания).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В.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Алгоритмизация. Программирование служебных систем спутниковой платформы, модуля ПН, ретрансляционной аппаратуры.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Системный программист – это разработчик программных комплексов, обеспечивающих слаженную работу компонентов малого космического аппарата. Он разбирается с выбором языка программирования (С для этой воз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растной категории), архитектурой бортового программного обеспечения, средой разработки, способом сборки, прошивки, отладки бортового программного обеспечения. Используя условные графические обозначения символов, блоков, фигур, обозначенные в стандартах ЕСП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 (Единой системы Программной Документации), составить схемы алгоритмов включающие символы, краткий пояснительный текст, соединяющие линии, стрелки, которые могут использоваться на различных уровнях детализации. Уровень детализации должен быть таким, чтобы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различные части и взаимосвязь между ними были понятны в целом. необходимо выполнить следующие виды работ: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основных выполняемых операций: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общую схему работы всех систем и устройств, установленных на борту МКА, согласно заданной в конкур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сном задании циклограмме работы спутника; 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подробную схему работы системы ориентации, установленной на МКА;  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подробную схему работы системы стабилизации, установленной на МКА;  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подробную схему работы полезной нагрузки (ретрансляционная аппаратура, камера), установленной на МКА;  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подробную схему работы всех систем, установленных на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МКА;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схему раскрытия и поворота солнечных панелей;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схему работы системы раскрытия и управления поворотом антенного узла;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Составить схему работы системы дополнительной связи;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Установить программы и драйверы для работы с системами и датчи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ками конструктора спутника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 из комплекта программ, рекомендуемых к использованию;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Написать, скомпилировать коды для проверки всех систем и датчиков из состава набора конструктора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Shield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Разработать коды калибровки магнитом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етра, солнечных датчиков, других систем и датчиков спутника, для которых это может быть необходимо;</w:t>
      </w:r>
      <w:r/>
    </w:p>
    <w:p>
      <w:pPr>
        <w:numPr>
          <w:ilvl w:val="0"/>
          <w:numId w:val="15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7" w:name="_heading=h.1t3h5sf"/>
      <w:r/>
      <w:bookmarkEnd w:id="7"/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Провести автономные испытания всех датчиков и исполнительных элементов всех систем, устанавливаемых на спутник.  При проведении автономных испытаний возможно использование отдельно изготовленных или имеющихся в наличии шлейфов (не менее 5 шт.) для проверки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датчиков и не запрещается использовать стандартные элементы корпуса конструктора спутника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»;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87465" cy="1776095"/>
                <wp:effectExtent l="0" t="0" r="0" b="0"/>
                <wp:docPr id="12" name="image1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4.png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387465" cy="17760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02.9pt;height:139.8pt;mso-wrap-distance-left:0.0pt;mso-wrap-distance-top:0.0pt;mso-wrap-distance-right:0.0pt;mso-wrap-distance-bottom:0.0pt;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ind w:firstLine="426"/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12 - Окно программы ЦУП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GroundControlX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и образец проверки магнитометра</w:t>
      </w:r>
      <w:r/>
    </w:p>
    <w:p>
      <w:pPr>
        <w:ind w:left="720" w:right="198"/>
        <w:jc w:val="center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Произвести калибровку магнитометра, солнечных датчиков, других датчиков спутника, для которых это может быть необходимо.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проведении автономных испытаний камеры полезной нагрузки добиться наиболее четких показателей резкости и фокусировки.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ыполнения модуля заносятся в приложение отчета в виде снимков экрана, фотографий, презентаций (Приложение №2 Отчет о выполнении конкурсного задания).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Г.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Разработка и отладка программного кода полной циклограммы работы МКА. Изготовление, сборка, пр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оверка работоспособности систем МКА.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Команда продолжает выполнение задания по обеспечению работоспособности систем и устройств собираемой модели спутника.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Системный программист, используя ранее разработанный общий алгоритм работы КА на орбите, разрабатывает программный код для совместной кор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ректной и правильной работы датчиков, систем, устройств, устанавливаемых на МКА и разрабатывает программный код для проведения автономных и функциональных испытаний спутника, которые входят в соответствующий модуль конкурсного задания.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Также необходимо ре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шить задачи по выполнению целевой функции собранной модели малого космического аппарата в составе спутниковой группировки и связь с центральным компьютером с подключенным ЦУП. Выполнение различных команд должно осуществляться в заданной пространственной 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иентации с обеспечением обратной связи для проверки прохождения сигнала от условного ЦУП до приемо-передающего устройства на МКА. Команды утверждаются за два дня до начала чемпионата экспертами и могут инициировать выполнение различных действий на МКА, нап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ример, раскрытие солнечных панелей, запуск системы ориентации, включение камеры ДЗЗ и др. Исходный программный код для ЦУП будет предоставлен участникам экспертами. Обратная связь организована отправлением команд в виде «Х – У», где Х – номер спутника, У 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номер команды.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Радиоэлектронщик-схемотехник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продолжает изготовление радиоэлектронных систем.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основных выполняемых операций: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Пайка радиоэлектронных компонентов всех разработанных устройств;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Сборка и пайка печатной (макетной) платы с микроконтроллером, датчиками, сервоприводами, шаговыми двигателями;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Сборка устройства системы раскрытия и управления поворотом СБ;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Сборка устройства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системы раскрытия антенны ретрансляционного устройства;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Автономные испытания системы раскрытия и поворота панелей БС (фиксация экспертами);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Автономные испытания системы раскрытия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зачековки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антенны ретрансляционного устройства (фиксация экспертами);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Адап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тация всех собранных и разработанных систем с корпусом КА;</w:t>
      </w:r>
      <w:r/>
    </w:p>
    <w:p>
      <w:pPr>
        <w:numPr>
          <w:ilvl w:val="0"/>
          <w:numId w:val="26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Заполнение соответствующих пунктов отчета в приложении.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Автономные испытания отдельных систем выполняются до выполнения сборки в чистой комнате на рабочем месте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радиоэлектронщика-схемотехника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Допу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скается использование отдельных корпусных деталей и элементов для проведения автономных испытаний.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выполнения модуля заносятся в приложение отчета в виде снимков экрана, фотографий, презентаций (Приложение №2 Отчет о выполнении конкурсного зада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ния) 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Д.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Сборка МКА (инвариант)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Сборка полного макета малого космического аппарата выполняется в условно чистой комнате только по комплекту рабочей конструкторской документации (возможна печать документации на бумажных носителях)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возможно начинать только по готовности всех отдельных уз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лов, деталей, систем согласно рабочей конструкторской документации. Сборку отдельных систем и устройств (например, системы раскрытия и управления поворотом солнечных панелей, функционального макета ретрансляционной аппаратуры) модели МКА возможно производи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ть на рабочем месте радиоинженера-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схемотехника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по мере готовности к монтажу этих систем. Перед сборкой спутника необходимо закончить работы по изготовлению этих деталей, узлов, элементов на станке лазерной резки, фрезерном станке и печати на 3D принтерах.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Кабели и жгуты сформированы, промаркированы, проверены тестером, входящим в комплект набора-конструктора спутника.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Необходимо извлечь предохранитель из гнезда на блоке системы энергопитания (СЭП).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После выполнения предыдущих модулей начинается сборка апп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арата, для чего работа переносится в условно чистую комнату (на производстве – это комната с ограничением доступа и требованием соблюдать правила работ и нахождения в условно чистой комнате класса 100000).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Все необходимые приборы, конструктив, крепеж, инс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трумент, расходные материалы и вспомогательную оснастку команда оформляет в отдельном протоколе готовности к сборке МКА (Приложение № 3). После проверки соответствия и допуска экспертами, протокол сдается ответственному лицу, а конкурсанты могут внести все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элементы из Приложения №3 в чистую комнату и приступить к сборке модели МКА. Запрещено при сборке использовать материалы и инструменты, не предназначенные для этого, элементы и т.п., не внесенные в перечень протокола (Приложение №3), и не внесенные в чист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ую комнату до момента начала сборки.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основных выполняемых операций:</w:t>
      </w:r>
      <w:r/>
    </w:p>
    <w:p>
      <w:pPr>
        <w:numPr>
          <w:ilvl w:val="0"/>
          <w:numId w:val="2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Сборка модели МКА, всех систем, подсистем,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мехустройств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/>
    </w:p>
    <w:p>
      <w:pPr>
        <w:numPr>
          <w:ilvl w:val="0"/>
          <w:numId w:val="2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Осуществление последовательности сборки;</w:t>
      </w:r>
      <w:r/>
    </w:p>
    <w:p>
      <w:pPr>
        <w:numPr>
          <w:ilvl w:val="0"/>
          <w:numId w:val="2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Сборка кабельной сети в соответствии документации;</w:t>
      </w:r>
      <w:r/>
    </w:p>
    <w:p>
      <w:pPr>
        <w:numPr>
          <w:ilvl w:val="0"/>
          <w:numId w:val="2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Хомутовка кабельной сети к корпусу МКА;</w:t>
      </w:r>
      <w:r/>
    </w:p>
    <w:p>
      <w:pPr>
        <w:numPr>
          <w:ilvl w:val="0"/>
          <w:numId w:val="21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Контровка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проволокой резьбовых соединений крепления маховика к корпусу МКА;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23816" cy="1327404"/>
                <wp:effectExtent l="0" t="0" r="0" b="0"/>
                <wp:docPr id="13" name="image1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6.jpg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4623816" cy="1327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64.1pt;height:104.5pt;mso-wrap-distance-left:0.0pt;mso-wrap-distance-top:0.0pt;mso-wrap-distance-right:0.0pt;mso-wrap-distance-bottom:0.0pt;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Рисунок 17 - Пример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контровки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резьбового соединения.</w:t>
      </w:r>
      <w:r/>
    </w:p>
    <w:p>
      <w:pPr>
        <w:ind w:left="152"/>
        <w:jc w:val="both"/>
        <w:spacing w:after="106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numPr>
          <w:ilvl w:val="0"/>
          <w:numId w:val="20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Использование СИЗ (заземляющих браслетов, защитных очков, халатов, шапочек, бахил, перчаток);</w:t>
      </w:r>
      <w:r/>
    </w:p>
    <w:p>
      <w:pPr>
        <w:ind w:left="709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right="595"/>
        <w:jc w:val="center"/>
        <w:spacing w:after="49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04535" cy="1576705"/>
                <wp:effectExtent l="0" t="0" r="0" b="0"/>
                <wp:docPr id="14" name="image1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png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804535" cy="15767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57.0pt;height:124.1pt;mso-wrap-distance-left:0.0pt;mso-wrap-distance-top:0.0pt;mso-wrap-distance-right:0.0pt;mso-wrap-distance-bottom:0.0pt;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ind w:left="166" w:right="198"/>
        <w:jc w:val="center"/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Рисунок 13 - Средства индивидуальной защиты (СИЗ)</w:t>
      </w:r>
      <w:r/>
    </w:p>
    <w:p>
      <w:pPr>
        <w:ind w:left="152"/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Запрещается использование изоляционной ленты, клея, скотча,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контровочной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проволоки на макете МКА, за исключением случаев, описанных в КЗ (например, изолента для маркировки БКС).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Итог сборки: спутник собран, проверен, стоит в условно чистой комнате в ожидан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ии этапа проведения процедуры допуска экспертами к проведению комплексных испытаний на стенде полунатурного моделирования. 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E.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Проведение комплекса наземных испытаний МКА (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вариатив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Спутник выносят из условно чистой комнаты и устанавливают на стенд полунатурных испытаний, пока неподвижно.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Группой экспертов визуально проводится первый осмотр собранного космического аппарата на предмет отсутствия механических повреждений и готовности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функциональным испытаниям. Все системы должны быть подключены,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мехустройства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находятся в транспортном положении. Первое включение собранного спутника конкурсантам проводить только в присутствии экспертов на аэродинамическом стенде. Для этого выдается конк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урсантам предохранитель из системы энергопитания (СЭП), извлеченный перед сборкой в условно чистой комнате. </w:t>
      </w:r>
      <w:r/>
    </w:p>
    <w:p>
      <w:pPr>
        <w:numPr>
          <w:ilvl w:val="0"/>
          <w:numId w:val="27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проверяют балансировку макета на аэродинамическом подвесе: если положение центра масс выше центра вращения, дальше испытания на аэродинамическом по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двесе можно не проводить. Спутник подлежит корректировке по центру масс и (или) сборке по новой модели или продолжить испытание на подвесе с нит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ью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  </w:t>
      </w:r>
      <w:r/>
    </w:p>
    <w:p>
      <w:pPr>
        <w:numPr>
          <w:ilvl w:val="0"/>
          <w:numId w:val="27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первое включение собранного аппарата – проверка подачи напряжения питания от СЭП в бортовую сеть спутника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уровень зарядки аккумуляторов СЭП;</w:t>
      </w:r>
      <w:r/>
    </w:p>
    <w:p>
      <w:pPr>
        <w:numPr>
          <w:ilvl w:val="0"/>
          <w:numId w:val="27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контрольное взвешивание готового изделия.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После допуска группой экспертов к функциональным испытаниям выполняет полный сброс данных на БКУ (используя функцию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Clean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All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спутника с последующим пошаговым тестированием следующих бортовых приборов в составе макета: </w:t>
      </w:r>
      <w:r/>
    </w:p>
    <w:p>
      <w:pPr>
        <w:numPr>
          <w:ilvl w:val="0"/>
          <w:numId w:val="2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маховик,</w:t>
      </w:r>
      <w:r/>
    </w:p>
    <w:p>
      <w:pPr>
        <w:numPr>
          <w:ilvl w:val="0"/>
          <w:numId w:val="2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солнечные датчики,</w:t>
      </w:r>
      <w:r/>
    </w:p>
    <w:p>
      <w:pPr>
        <w:numPr>
          <w:ilvl w:val="0"/>
          <w:numId w:val="2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датчик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угловой скорости,</w:t>
      </w:r>
      <w:r/>
    </w:p>
    <w:p>
      <w:pPr>
        <w:numPr>
          <w:ilvl w:val="0"/>
          <w:numId w:val="2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магнитометр,</w:t>
      </w:r>
      <w:r/>
    </w:p>
    <w:p>
      <w:pPr>
        <w:numPr>
          <w:ilvl w:val="0"/>
          <w:numId w:val="28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камера, УКВ и ВЧ-передатчик (произвести очистку полученных фотографий из папки FTP в программе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GroundControlX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Необходимым условием тестирования является демонстрация числа итераций, полученных значений и данных во время выполнения кода программы на экране компьютера или центральном мониторе в зоне испытаний. 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выполнения модуля заносятся в приложение 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чета в виде снимков экрана, фотографий, презентаций (Приложение №2 Отчет о выполнении конкурсного задания) 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Модуль Ж.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Решение целевой задачи (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вариатив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)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Время на выполнение модуля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 </w:t>
      </w:r>
      <w:r>
        <w:rPr>
          <w:rFonts w:ascii="Times New Roman" w:hAnsi="Times New Roman" w:eastAsia="Times New Roman" w:cs="Times New Roman"/>
          <w:i/>
          <w:color w:val="000000" w:themeColor="text1"/>
          <w:sz w:val="28"/>
          <w:szCs w:val="28"/>
        </w:rPr>
        <w:t xml:space="preserve">8 (восемь) часов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Задания: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выполнении модуля системный программист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ошивает на борт программы, написанные им ранее на конкурсной площадке, и предоставляет экспертам к оценке испытания космического аппарата на подвижном стенде. Во время демонстрации работоспособности спутника, конкурсант сам выполняет необходимые действия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МКА, при необходимости используя исключительно устные рекомендации экспертов. Отсчет времени производится, используя таймер на экране, телефон ГЭ, ТЭ.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Раскручивание корпуса аппарата из неподвижного положения влево (по ходу часовой стрелки) и вращение с по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стоянной угловой скоростью (не менее 10 град/сек);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Раскручивание корпуса аппарата из неподвижного положения вправо (против хода часовой стрелки) и вращение с постоянной угловой скоростью (не менее 10 град/сек);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Работу дополнительных систем связи для передачи сообщений (30% изменений КЗ) по ВЧ каналу на отдельную приемную станцию экспертов;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Стабилизация спутника в транспортном положении и заданные значения времени и точности удержания корпуса аппарата (10 секунд).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Получение контрольных снимков с камеры (не менее 3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Выполняют ориентацию спутника по магнитометру на подвесе с помощью имитатора магнитного поля Земли по нескольким углам, зафиксированным в приложении 30% изменения КЗ. Получение контрольных снимков с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камеры (не менее 3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).  Изменение угла производят поворотом имитатора магнитного поля, камера ориентирована согласно КЗ;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Работу систем раскрытия и управления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мехустройств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установленных на МКА (возможно совмещение при проверке полной циклограммы);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камеры ПН - получение изображения;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Работу бортовой системы управления по циклограмме: УСПОКОЕНИЕ – СТАБИЛИЗАЦИЯ – РАСКРЫТИЕ ПАНЕЛЕЙ БС – ПОВОРОТ ПАНЕЛЕЙ БС НА ИСТОЧНИК СВЕТА – ОРИЕНТАЦИЯ (МАГНИТНАЯ, СОЛНЕЧНАЯ) – РАБОТА ПОЛЕЗНОЙ НАГРУЗКИ (входит в изменение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30%, вносимое экспертами за два дня до чемпионата). </w:t>
      </w:r>
      <w:r/>
    </w:p>
    <w:p>
      <w:pPr>
        <w:numPr>
          <w:ilvl w:val="0"/>
          <w:numId w:val="29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Работу всех спутников в составе спутниковой группировки. Выполнение различных команд должно осуществляться в заданной пространственной ориентации с обеспечением обратной связи для проверки прохождения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игнала от условного ЦУП до приемо-передающего устройства на МКА.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Эксперты контролируют качество балансировки макета на аэродинамическом подвесе; точность измеряемых величин путем сравнения с эталонами; количественные и качественные параметры работы системы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управления (быстродействие, точность), качество и объем полученных с «борта» данных камеры, количество переданных и принятых команд, число отработанных данных по командам с ЦУП на ретрансляционную аппаратуру МКА.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выполнения модуля заносятся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отчета в виде снимков экрана, фотографий, презентаций (Приложение №2 Отчет о выполнении конкурсного задания)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768"/>
        <w:ind w:firstLine="709"/>
        <w:jc w:val="center"/>
        <w:spacing w:after="0" w:line="240" w:lineRule="auto"/>
        <w:rPr>
          <w:rFonts w:ascii="Times New Roman" w:hAnsi="Times New Roman"/>
          <w:szCs w:val="28"/>
          <w:lang w:val="ru-RU"/>
        </w:rPr>
      </w:pPr>
      <w:r/>
      <w:bookmarkStart w:id="8" w:name="_heading=h.4d34og8"/>
      <w:r/>
      <w:bookmarkEnd w:id="8"/>
      <w:r>
        <w:rPr>
          <w:rFonts w:ascii="Times New Roman" w:hAnsi="Times New Roman"/>
          <w:szCs w:val="28"/>
          <w:lang w:val="ru-RU"/>
        </w:rPr>
        <w:t xml:space="preserve">2. СПЕЦИАЛЬНЫЕ ПРАВИЛА КОМПЕТЕНЦИИ</w:t>
      </w:r>
      <w:r>
        <w:rPr>
          <w:rFonts w:ascii="Times New Roman" w:hAnsi="Times New Roman"/>
          <w:i/>
          <w:color w:val="000000"/>
          <w:szCs w:val="28"/>
          <w:vertAlign w:val="superscript"/>
        </w:rPr>
        <w:footnoteReference w:id="3"/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Конкурсантам в составе одной команды не запрещается выполнять модуль вместе, общение между командами на площадке запрещено.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Количество технических экспертов - 1 (один) на 6 команд. Если на площадке проведения чемпионата находится более 6 команд – обязатель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ное присутствие второго технического эксперта. Также обязательно присутствие волонтера в каждый день проведения мероприятия, начиная со второго дня до дня проведения чемпионата. 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9" w:name="_heading=h.2s8eyo1"/>
      <w:r/>
      <w:bookmarkEnd w:id="9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2.1. Личный инструмент конкурсанта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Нулевой - нельзя ничего привозить.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769"/>
        <w:spacing w:before="0"/>
        <w:rPr>
          <w:rFonts w:ascii="Times New Roman" w:hAnsi="Times New Roman" w:cs="Times New Roman"/>
          <w:sz w:val="28"/>
          <w:szCs w:val="28"/>
          <w:lang w:val="ru-RU"/>
        </w:rPr>
      </w:pPr>
      <w:r/>
      <w:bookmarkStart w:id="10" w:name="_heading=h.17dp8vu"/>
      <w:r/>
      <w:bookmarkEnd w:id="10"/>
      <w:r>
        <w:rPr>
          <w:rFonts w:ascii="Times New Roman" w:hAnsi="Times New Roman" w:cs="Times New Roman"/>
          <w:sz w:val="28"/>
          <w:szCs w:val="28"/>
          <w:lang w:val="ru-RU"/>
        </w:rPr>
        <w:t xml:space="preserve">2.2.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Материалы, оборудование и инструменты, запрещенные на площадке</w:t>
      </w:r>
      <w:r/>
    </w:p>
    <w:p>
      <w:pPr>
        <w:numPr>
          <w:ilvl w:val="0"/>
          <w:numId w:val="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Домашние наработки, детали, изделия</w:t>
      </w:r>
      <w:r/>
    </w:p>
    <w:p>
      <w:pPr>
        <w:numPr>
          <w:ilvl w:val="0"/>
          <w:numId w:val="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Блокноты, тетради, записи с информацией, использовавшейся при подготовке к мероприятию</w:t>
      </w:r>
      <w:r/>
    </w:p>
    <w:p>
      <w:pPr>
        <w:numPr>
          <w:ilvl w:val="0"/>
          <w:numId w:val="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Сторонние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флеш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-накопители, жесткие диски, носители и т.п.</w:t>
      </w:r>
      <w:r/>
    </w:p>
    <w:p>
      <w:pPr>
        <w:numPr>
          <w:ilvl w:val="0"/>
          <w:numId w:val="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Наушники, часы, телефоны, браслеты;</w:t>
      </w:r>
      <w:r/>
    </w:p>
    <w:p>
      <w:pPr>
        <w:numPr>
          <w:ilvl w:val="0"/>
          <w:numId w:val="3"/>
        </w:numPr>
        <w:ind w:left="0"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Фляги,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термокружки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посуда;</w:t>
      </w:r>
      <w:r/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jc w:val="both"/>
        <w:keepNext/>
        <w:spacing w:after="0" w:line="36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bookmarkStart w:id="11" w:name="_heading=h.3rdcrjn"/>
      <w:r/>
      <w:bookmarkEnd w:id="11"/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3. Приложения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b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Инструкция по заполнению матрицы конкурсного задания</w:t>
      </w:r>
      <w:r>
        <w:rPr>
          <w:rFonts w:ascii="Times New Roman" w:hAnsi="Times New Roman" w:eastAsia="Times New Roman" w:cs="Times New Roman"/>
          <w:i/>
        </w:rPr>
        <w:t xml:space="preserve"> </w:t>
      </w:r>
      <w:r/>
    </w:p>
    <w:p>
      <w:pPr>
        <w:ind w:firstLine="720"/>
        <w:jc w:val="both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№2 Матрица конкурсного задания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Критерии оценки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Инструкция по охране труда и технике безопасности по компетенции «Инженерия космических систем».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Чек-лист 30% изменения КЗ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Отчет о выполнении конкурсного задания   </w:t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Протокол готовности сборки МКА </w:t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left="3692" w:right="198"/>
        <w:jc w:val="right"/>
        <w:spacing w:after="0" w:line="40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Данные заполняются и утверждаются экспертами за два дня до чемпионата в качестве 30% изменения КЗ</w:t>
      </w:r>
      <w:r/>
    </w:p>
    <w:p>
      <w:pPr>
        <w:ind w:firstLine="720"/>
        <w:jc w:val="center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Чек-лист 30% изменения КЗ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Геометрические параметры, размеры, элементы крепления корпуса модели МКА:</w:t>
      </w:r>
      <w:r/>
    </w:p>
    <w:p>
      <w:pPr>
        <w:ind w:left="720" w:firstLine="720"/>
        <w:jc w:val="both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Фото, чертеж, описание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Положение объекта контакта относительно макета МКА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Габаритные размеры в транспортном положении 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Ось крепления панелей БС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Тип сообщения, количество, вид информации, канал передачи и мощность передатчика 2,4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гГц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Полная циклограмма целевой задачи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Параметры размеров рабочих столов и поверхностей оборудования (3D-принтер, лазерный станок, фрезерный станок):</w:t>
      </w:r>
      <w:r>
        <w:rPr>
          <w:b/>
          <w:color w:val="000000"/>
          <w:sz w:val="28"/>
          <w:szCs w:val="28"/>
        </w:rPr>
        <w:t xml:space="preserve"> </w:t>
      </w:r>
      <w:r/>
    </w:p>
    <w:p>
      <w:pPr>
        <w:ind w:left="720" w:firstLine="720"/>
        <w:spacing w:after="0" w:line="358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3D-принтер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ШхГхВ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 – 200 х 200 х 200 мм  </w:t>
      </w:r>
      <w:r/>
    </w:p>
    <w:p>
      <w:pPr>
        <w:ind w:left="720" w:firstLine="720"/>
        <w:spacing w:after="0" w:line="358" w:lineRule="auto"/>
        <w:tabs>
          <w:tab w:val="left" w:pos="3433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лазерный станок 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ШхГ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) – 590 х 390 мм.  </w:t>
      </w:r>
      <w:r/>
    </w:p>
    <w:p>
      <w:pPr>
        <w:ind w:left="720" w:firstLine="720"/>
        <w:spacing w:after="0" w:line="358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pStyle w:val="997"/>
        <w:numPr>
          <w:ilvl w:val="0"/>
          <w:numId w:val="31"/>
        </w:numPr>
        <w:ind w:left="2126" w:hanging="709"/>
        <w:spacing w:after="0" w:line="358" w:lineRule="auto"/>
        <w:rPr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Выбор используемого материала:</w:t>
      </w:r>
      <w:r/>
    </w:p>
    <w:p>
      <w:pPr>
        <w:ind w:left="709" w:firstLine="720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3D-принтер «ABS»;</w:t>
      </w:r>
      <w:r/>
    </w:p>
    <w:p>
      <w:pPr>
        <w:ind w:left="709" w:firstLine="720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лазерный станок - полированная фанера 3 мм (плотность 710,2 кг/м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</w:rPr>
        <w:t xml:space="preserve">3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);</w:t>
      </w:r>
      <w:r/>
    </w:p>
    <w:p>
      <w:pPr>
        <w:ind w:left="709" w:firstLine="720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фрезерный станок - фольгированный стеклотекстолит 1,5 мм.</w:t>
      </w:r>
      <w:r/>
    </w:p>
    <w:p>
      <w:pPr>
        <w:numPr>
          <w:ilvl w:val="0"/>
          <w:numId w:val="24"/>
        </w:numPr>
        <w:ind w:firstLine="720"/>
        <w:spacing w:after="0" w:line="358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Демонстрация углов ориентации, град:</w:t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Схема взаимного расположения искусственного спутника Земли (ИСЗ), места съёмки и углов выставления имитатора солнца показано на рисунке ниже, угол АОС равен 135°.</w:t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95423" cy="2427419"/>
                <wp:effectExtent l="0" t="0" r="0" b="0"/>
                <wp:docPr id="1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  <pic:nvPr/>
                      </pic:nvPicPr>
                      <pic:blipFill>
                        <a:blip r:embed="rId31"/>
                        <a:srcRect l="0" t="22785" r="0" b="0"/>
                        <a:stretch/>
                      </pic:blipFill>
                      <pic:spPr bwMode="auto">
                        <a:xfrm>
                          <a:off x="0" y="0"/>
                          <a:ext cx="5195423" cy="24274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09.1pt;height:191.1pt;mso-wrap-distance-left:0.0pt;mso-wrap-distance-top:0.0pt;mso-wrap-distance-right:0.0pt;mso-wrap-distance-bottom:0.0pt;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Схема взаимного расположения искусственного спутника Земли (ИСЗ), места съёмки и углов выс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тавления магнитной рамки показано на рисунке ниже, угол АОС равен 270°.</w:t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left="720" w:firstLine="720"/>
        <w:spacing w:after="0" w:line="358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44407" cy="2453129"/>
                <wp:effectExtent l="0" t="0" r="0" b="0"/>
                <wp:docPr id="16" name="image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5.png"/>
                        <pic:cNvPicPr/>
                        <pic:nvPr/>
                      </pic:nvPicPr>
                      <pic:blipFill>
                        <a:blip r:embed="rId32"/>
                        <a:srcRect l="0" t="26556" r="0" b="0"/>
                        <a:stretch/>
                      </pic:blipFill>
                      <pic:spPr bwMode="auto">
                        <a:xfrm>
                          <a:off x="0" y="0"/>
                          <a:ext cx="4544407" cy="24531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357.8pt;height:193.2pt;mso-wrap-distance-left:0.0pt;mso-wrap-distance-top:0.0pt;mso-wrap-distance-right:0.0pt;mso-wrap-distance-bottom:0.0pt;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ind w:firstLine="720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left="2115" w:firstLine="720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Пример задания:</w:t>
      </w:r>
      <w:r/>
    </w:p>
    <w:p>
      <w:pPr>
        <w:numPr>
          <w:ilvl w:val="0"/>
          <w:numId w:val="16"/>
        </w:numPr>
        <w:ind w:left="360" w:firstLine="720"/>
        <w:jc w:val="both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Угол АОС равен 40° </w:t>
      </w:r>
      <w:r/>
    </w:p>
    <w:p>
      <w:pPr>
        <w:numPr>
          <w:ilvl w:val="0"/>
          <w:numId w:val="16"/>
        </w:numPr>
        <w:ind w:left="360" w:firstLine="720"/>
        <w:jc w:val="both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Угол АОС равен 135° </w:t>
      </w:r>
      <w:r/>
    </w:p>
    <w:p>
      <w:pPr>
        <w:numPr>
          <w:ilvl w:val="0"/>
          <w:numId w:val="16"/>
        </w:numPr>
        <w:ind w:left="360" w:firstLine="720"/>
        <w:jc w:val="both"/>
        <w:spacing w:after="0" w:line="358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Угол АОС равен 230° </w:t>
      </w:r>
      <w:r/>
    </w:p>
    <w:p>
      <w:pPr>
        <w:numPr>
          <w:ilvl w:val="0"/>
          <w:numId w:val="24"/>
        </w:numPr>
        <w:ind w:firstLine="720"/>
        <w:jc w:val="both"/>
        <w:spacing w:after="0" w:line="358" w:lineRule="auto"/>
        <w:widowControl w:val="off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Другие изменения, не учтенные раннее</w:t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br w:type="page" w:clear="all"/>
      </w:r>
      <w:r/>
    </w:p>
    <w:p>
      <w:pPr>
        <w:ind w:left="7254" w:right="198"/>
        <w:spacing w:after="15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6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ind w:left="659" w:right="3"/>
        <w:jc w:val="center"/>
        <w:spacing w:after="223" w:line="264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Отчет о выполнении конкурсного задания   </w:t>
      </w:r>
      <w:r/>
    </w:p>
    <w:tbl>
      <w:tblPr>
        <w:tblStyle w:val="804"/>
        <w:tblW w:w="5000" w:type="pct"/>
        <w:tblLook w:val="04A0" w:firstRow="1" w:lastRow="0" w:firstColumn="1" w:lastColumn="0" w:noHBand="0" w:noVBand="1"/>
      </w:tblPr>
      <w:tblGrid>
        <w:gridCol w:w="9639"/>
      </w:tblGrid>
      <w:tr>
        <w:trPr>
          <w:trHeight w:val="577"/>
        </w:trPr>
        <w:tc>
          <w:tcPr>
            <w:tcBorders>
              <w:top w:val="none" w:color="000000" w:sz="4" w:space="0"/>
            </w:tcBorders>
            <w:tcW w:w="5000" w:type="pct"/>
            <w:textDirection w:val="lrTb"/>
            <w:noWrap w:val="false"/>
          </w:tcPr>
          <w:p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чемпионата:</w:t>
            </w:r>
            <w:r/>
          </w:p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Рабочее место № ___</w:t>
            </w:r>
            <w:r/>
          </w:p>
          <w:p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Распределение ролей участников в команде:</w:t>
            </w:r>
            <w:r/>
          </w:p>
          <w:p>
            <w:pPr>
              <w:jc w:val="both"/>
            </w:pPr>
            <w:r/>
            <w:r/>
          </w:p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7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</w:rPr>
            </w:r>
            <w:r/>
          </w:p>
        </w:tc>
      </w:tr>
      <w:tr>
        <w:trPr>
          <w:trHeight w:val="578"/>
        </w:trPr>
        <w:tc>
          <w:tcPr>
            <w:tcW w:w="5000" w:type="pc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 w:cs="Times New Roman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Дата: </w:t>
            </w:r>
            <w:r/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br w:type="page" w:clear="all"/>
      </w:r>
      <w:r/>
    </w:p>
    <w:p>
      <w:pPr>
        <w:numPr>
          <w:ilvl w:val="0"/>
          <w:numId w:val="17"/>
        </w:numPr>
        <w:ind w:left="0" w:firstLine="709"/>
        <w:jc w:val="both"/>
        <w:spacing w:after="0" w:line="360" w:lineRule="auto"/>
        <w:tabs>
          <w:tab w:val="center" w:pos="661" w:leader="none"/>
          <w:tab w:val="center" w:pos="1418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Список сокращений и условных обозначений </w:t>
      </w:r>
      <w:r/>
    </w:p>
    <w:p>
      <w:pPr>
        <w:ind w:firstLine="709"/>
        <w:jc w:val="both"/>
        <w:spacing w:after="0" w:line="360" w:lineRule="auto"/>
        <w:tabs>
          <w:tab w:val="center" w:pos="661" w:leader="none"/>
          <w:tab w:val="center" w:pos="4285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numPr>
          <w:ilvl w:val="0"/>
          <w:numId w:val="17"/>
        </w:numPr>
        <w:ind w:left="0" w:firstLine="709"/>
        <w:jc w:val="both"/>
        <w:spacing w:after="0" w:line="360" w:lineRule="auto"/>
        <w:tabs>
          <w:tab w:val="center" w:pos="661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конструктором-проектировщиком  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Название спутника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вид спутника, картинка в изометрии, положение камеры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вид спутника с изображением осей системы координат  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Print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Screen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программы 3D моделирования вкладки «Массовые характеристики»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Print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Screen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программы 3D моделирования вкладки «Интерференция»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Описание работы механических систем </w:t>
      </w:r>
      <w:r/>
    </w:p>
    <w:p>
      <w:pPr>
        <w:numPr>
          <w:ilvl w:val="0"/>
          <w:numId w:val="18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Расчет массы аппарата:</w:t>
      </w:r>
      <w:r/>
    </w:p>
    <w:p>
      <w:pPr>
        <w:numPr>
          <w:ilvl w:val="0"/>
          <w:numId w:val="19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Масса аппарата по 3D модели,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  _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___________________________</w:t>
      </w:r>
      <w:r/>
    </w:p>
    <w:p>
      <w:pPr>
        <w:numPr>
          <w:ilvl w:val="0"/>
          <w:numId w:val="19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Реальная полная масса аппарата, г ___________________________</w:t>
      </w:r>
      <w:r/>
    </w:p>
    <w:p>
      <w:pPr>
        <w:numPr>
          <w:ilvl w:val="0"/>
          <w:numId w:val="19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Таблица масс компонентов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Орбикрафт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корпуса, сервоприводов, шаговых двигателей,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Arduino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Mega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батарея фотоэлектрическая. 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tbl>
      <w:tblPr>
        <w:tblStyle w:val="1019"/>
        <w:tblW w:w="9575" w:type="dxa"/>
        <w:tblInd w:w="161" w:type="dxa"/>
        <w:tblLayout w:type="fixed"/>
        <w:tblLook w:val="0400" w:firstRow="0" w:lastRow="0" w:firstColumn="0" w:lastColumn="0" w:noHBand="0" w:noVBand="1"/>
      </w:tblPr>
      <w:tblGrid>
        <w:gridCol w:w="674"/>
        <w:gridCol w:w="4115"/>
        <w:gridCol w:w="2393"/>
        <w:gridCol w:w="2393"/>
      </w:tblGrid>
      <w:tr>
        <w:trPr>
          <w:trHeight w:val="965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67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№ 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4115" w:type="dxa"/>
            <w:vAlign w:val="center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Наименование детали или устройства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Вес, грамм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Примечание  </w:t>
            </w:r>
            <w:r/>
          </w:p>
        </w:tc>
      </w:tr>
      <w:tr>
        <w:trPr>
          <w:trHeight w:val="62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67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4115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  <w:tr>
        <w:trPr>
          <w:trHeight w:val="6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67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4115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  <w:tr>
        <w:trPr>
          <w:trHeight w:val="62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67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4115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108" w:type="dxa"/>
              <w:top w:w="85" w:type="dxa"/>
              <w:right w:w="81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</w:t>
      </w:r>
      <w:r/>
    </w:p>
    <w:p>
      <w:pPr>
        <w:numPr>
          <w:ilvl w:val="0"/>
          <w:numId w:val="17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радиоэлектронщиком-схемотехником</w:t>
      </w:r>
      <w:r/>
    </w:p>
    <w:p>
      <w:pPr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Способы межблочного соединения</w:t>
      </w:r>
      <w:r/>
    </w:p>
    <w:p>
      <w:pPr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Распайка разъема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распиновка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/>
    </w:p>
    <w:p>
      <w:pPr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Структурная схема соединений</w:t>
      </w:r>
      <w:r/>
    </w:p>
    <w:p>
      <w:pPr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длин кабельных переходов и соединений</w:t>
      </w:r>
      <w:r/>
    </w:p>
    <w:tbl>
      <w:tblPr>
        <w:tblStyle w:val="1020"/>
        <w:tblW w:w="9603" w:type="dxa"/>
        <w:tblInd w:w="154" w:type="dxa"/>
        <w:tblLayout w:type="fixed"/>
        <w:tblLook w:val="0400" w:firstRow="0" w:lastRow="0" w:firstColumn="0" w:lastColumn="0" w:noHBand="0" w:noVBand="1"/>
      </w:tblPr>
      <w:tblGrid>
        <w:gridCol w:w="1049"/>
        <w:gridCol w:w="3897"/>
        <w:gridCol w:w="2264"/>
        <w:gridCol w:w="2393"/>
      </w:tblGrid>
      <w:tr>
        <w:trPr>
          <w:trHeight w:val="114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1049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№ шлейфа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3897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Наименование соединяемых блоков (датчиков)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26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Длина в мм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Длина с допуском, мм  </w:t>
            </w:r>
            <w:r/>
          </w:p>
        </w:tc>
      </w:tr>
      <w:tr>
        <w:trPr>
          <w:trHeight w:val="493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1049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3897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26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  <w:tr>
        <w:trPr>
          <w:trHeight w:val="49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1049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3897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26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  <w:tr>
        <w:trPr>
          <w:trHeight w:val="492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1049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3897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264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left w:w="58" w:type="dxa"/>
              <w:top w:w="59" w:type="dxa"/>
            </w:tcMar>
            <w:tcW w:w="2393" w:type="dxa"/>
            <w:textDirection w:val="lrTb"/>
            <w:noWrap w:val="false"/>
          </w:tcPr>
          <w:p>
            <w:pPr>
              <w:ind w:firstLine="709"/>
              <w:jc w:val="both"/>
              <w:spacing w:line="36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</w:t>
            </w:r>
            <w:r/>
          </w:p>
        </w:tc>
      </w:tr>
    </w:tbl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4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Изготовление кабелей и шлейфов.   </w:t>
      </w:r>
      <w:r/>
    </w:p>
    <w:p>
      <w:pPr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Пайка кабеля, результат проверки</w:t>
      </w:r>
      <w:r/>
    </w:p>
    <w:p>
      <w:pPr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Обжимка шлейфов, результат проверки</w:t>
      </w:r>
      <w:r/>
    </w:p>
    <w:p>
      <w:pPr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Общая масса всех шлейфов и проводов, гр. ______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numPr>
          <w:ilvl w:val="0"/>
          <w:numId w:val="17"/>
        </w:numPr>
        <w:ind w:left="0" w:firstLine="709"/>
        <w:jc w:val="both"/>
        <w:spacing w:after="0" w:line="360" w:lineRule="auto"/>
        <w:tabs>
          <w:tab w:val="center" w:pos="588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Отчет о выполнении конкурсного задания системным программистом </w:t>
      </w:r>
      <w:r/>
    </w:p>
    <w:p>
      <w:pPr>
        <w:ind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Перечень документации, декларируемой ГОСТ 19.105-78: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 Документы, содержащие сведения, необходимые для разработки программного продукта (программ управления спутником), его изготовления.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1.1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Спецификация – состав программного и документации на него.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ff0000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Перечень разработанных документов и файлов с кодом (скриншоты архивов, наименования и расположение алгоритмов)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1.2. Текст программ – запись текста программ с необходимыми комментариями.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ff0000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Скриншоты со всеми кодами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1.3. Описание программ – сведения о логической и функциональной структуре программ.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ff0000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Описание логики работы каждой разработанной программы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1.4. Программа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методика испытаний – требования, подлежащие проверке при испытании программы, порядок и методы их контроля.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ff0000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Описание способов отладки и проверки правильности работы разработанных программ - покрутить датчик, например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1.5. Техническое задание – назначение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область применения программ, технические и специальные требования, необходимые стадии и сроки разработки, виды испытаний.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color w:val="ff0000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Цели разработки, задачи, выполняемые программами.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1.6. Пояснительная записка – схема алгоритмов, общее описания алгоритмов, выполняем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ые программами функции. Объяснение принятых технических решений.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Все разработанные алгоритмы и программы</w:t>
      </w:r>
      <w:r/>
    </w:p>
    <w:p>
      <w:pPr>
        <w:ind w:firstLine="709"/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  <w:pBdr>
          <w:bottom w:val="none" w:color="auto" w:sz="0" w:space="7"/>
          <w:right w:val="none" w:color="auto" w:sz="0" w:space="4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numPr>
          <w:ilvl w:val="0"/>
          <w:numId w:val="17"/>
        </w:numPr>
        <w:ind w:firstLine="709"/>
        <w:jc w:val="both"/>
        <w:spacing w:after="0" w:line="360" w:lineRule="auto"/>
        <w:tabs>
          <w:tab w:val="center" w:pos="588" w:leader="none"/>
          <w:tab w:val="center" w:pos="4180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Разработка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рабочей конструкторской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документации </w:t>
      </w:r>
      <w:r/>
    </w:p>
    <w:p>
      <w:pPr>
        <w:ind w:left="-15" w:right="33" w:firstLine="709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Print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Screen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разработанных документов или ссылки на файл.  </w:t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br w:type="page" w:clear="all"/>
      </w:r>
      <w:r/>
    </w:p>
    <w:p>
      <w:pPr>
        <w:ind w:left="6372" w:firstLine="707"/>
        <w:jc w:val="right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Приложение 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7</w:t>
      </w:r>
      <w:r/>
    </w:p>
    <w:p>
      <w:pPr>
        <w:ind w:left="4956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Протокол готовности сборки МКА </w:t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Номер команды ________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Время готовности ______</w:t>
      </w:r>
      <w:r/>
    </w:p>
    <w:tbl>
      <w:tblPr>
        <w:tblStyle w:val="1021"/>
        <w:tblW w:w="960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260"/>
        <w:gridCol w:w="2552"/>
        <w:gridCol w:w="1082"/>
        <w:gridCol w:w="2011"/>
      </w:tblGrid>
      <w:tr>
        <w:trPr/>
        <w:tc>
          <w:tcPr>
            <w:tcW w:w="704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п/п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элементов</w:t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Тип, принадлежность </w:t>
            </w:r>
            <w:r/>
          </w:p>
        </w:tc>
        <w:tc>
          <w:tcPr>
            <w:tcW w:w="108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Кол-во</w:t>
            </w:r>
            <w:r/>
          </w:p>
        </w:tc>
        <w:tc>
          <w:tcPr>
            <w:tcW w:w="2011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Примечания</w:t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108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011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108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011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…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108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011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</w:tr>
      <w:tr>
        <w:trPr/>
        <w:tc>
          <w:tcPr>
            <w:tcW w:w="704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n…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55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1082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  <w:tc>
          <w:tcPr>
            <w:tcW w:w="2011" w:type="dxa"/>
            <w:textDirection w:val="lrTb"/>
            <w:noWrap w:val="false"/>
          </w:tcPr>
          <w:p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</w:tc>
      </w:tr>
    </w:tbl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 _________________ /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 _________________ /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Конкурсант _________________ /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Эксперт ____________________ /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Эксперт ____________________ /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Эксперт ____________________ /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И.О.Фамилия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/</w:t>
      </w:r>
      <w:r/>
    </w:p>
    <w:p>
      <w:pPr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both"/>
        <w:keepNext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sectPr>
      <w:headerReference w:type="default" r:id="rId9"/>
      <w:footerReference w:type="default" r:id="rId10"/>
      <w:footnotePr/>
      <w:endnotePr/>
      <w:type w:val="nextPage"/>
      <w:pgSz w:w="11906" w:h="16838" w:orient="portrait"/>
      <w:pgMar w:top="1134" w:right="849" w:bottom="1134" w:left="1418" w:header="624" w:footer="170" w:gutter="0"/>
      <w:pgNumType w:start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ourier New">
    <w:panose1 w:val="02070409020205020404"/>
  </w:font>
  <w:font w:name="Georgia">
    <w:panose1 w:val="02020603050405020304"/>
  </w:font>
  <w:font w:name="Segoe UI">
    <w:panose1 w:val="020B0502040504020204"/>
  </w:font>
  <w:font w:name="DejaVu Sans">
    <w:panose1 w:val="020B0603030804020204"/>
  </w:font>
  <w:font w:name="noto sans symbols">
    <w:panose1 w:val="05040102010807070707"/>
  </w:font>
  <w:font w:name="Cambria">
    <w:panose1 w:val="02020603050405020304"/>
  </w:font>
  <w:font w:name="frutigerltstd-light">
    <w:panose1 w:val="05040102010807070707"/>
  </w:font>
  <w:font w:name="Tahoma">
    <w:panose1 w:val="020B0506030602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0" w:line="276" w:lineRule="auto"/>
      <w:widowControl w:val="off"/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  <w:tbl>
    <w:tblPr>
      <w:tblStyle w:val="1022"/>
      <w:tblW w:w="9639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5954"/>
      <w:gridCol w:w="3685"/>
    </w:tblGrid>
    <w:tr>
      <w:trPr>
        <w:jc w:val="center"/>
      </w:trPr>
      <w:tc>
        <w:tcPr>
          <w:shd w:val="clear" w:color="auto" w:fill="auto"/>
          <w:tcW w:w="5954" w:type="dxa"/>
          <w:vAlign w:val="center"/>
          <w:textDirection w:val="lrTb"/>
          <w:noWrap w:val="false"/>
        </w:tcPr>
        <w:p>
          <w:pPr>
            <w:spacing w:after="0" w:line="240" w:lineRule="auto"/>
            <w:tabs>
              <w:tab w:val="center" w:pos="4677" w:leader="none"/>
              <w:tab w:val="right" w:pos="9355" w:leader="none"/>
            </w:tabs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</w:r>
          <w:r/>
        </w:p>
      </w:tc>
      <w:tc>
        <w:tcPr>
          <w:shd w:val="clear" w:color="auto" w:fill="auto"/>
          <w:tcW w:w="3685" w:type="dxa"/>
          <w:vAlign w:val="center"/>
          <w:textDirection w:val="lrTb"/>
          <w:noWrap w:val="false"/>
        </w:tcPr>
        <w:p>
          <w:pPr>
            <w:jc w:val="right"/>
            <w:spacing w:after="0" w:line="240" w:lineRule="auto"/>
            <w:tabs>
              <w:tab w:val="center" w:pos="4677" w:leader="none"/>
              <w:tab w:val="right" w:pos="9355" w:leader="none"/>
            </w:tabs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pBdr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  <w:between w:val="none" w:color="000000" w:sz="4" w:space="0"/>
            </w:pBdr>
          </w:pP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fldChar w:fldCharType="begin"/>
          </w: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instrText xml:space="preserve">PAGE</w:instrText>
          </w: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fldChar w:fldCharType="separate"/>
          </w: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t xml:space="preserve">21</w:t>
          </w:r>
          <w:r>
            <w:rPr>
              <w:rFonts w:ascii="Times New Roman" w:hAnsi="Times New Roman" w:eastAsia="Times New Roman" w:cs="Times New Roman"/>
              <w:smallCaps/>
              <w:color w:val="000000"/>
              <w:sz w:val="18"/>
              <w:szCs w:val="18"/>
            </w:rPr>
            <w:fldChar w:fldCharType="end"/>
          </w:r>
          <w:r/>
        </w:p>
      </w:tc>
    </w:tr>
  </w:tbl>
  <w:p>
    <w:pPr>
      <w:spacing w:after="0" w:line="240" w:lineRule="auto"/>
      <w:tabs>
        <w:tab w:val="center" w:pos="4677" w:leader="none"/>
        <w:tab w:val="right" w:pos="9355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jc w:val="both"/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  <w:r/>
    </w:p>
  </w:footnote>
  <w:footnote w:id="3">
    <w:p>
      <w:pPr>
        <w:spacing w:after="0" w:line="240" w:lineRule="auto"/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vertAlign w:val="superscript"/>
        </w:rPr>
        <w:footnoteRef/>
      </w:r>
      <w:r>
        <w:rPr>
          <w:rFonts w:ascii="Times New Roman" w:hAnsi="Times New Roman" w:eastAsia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0" w:line="240" w:lineRule="auto"/>
      <w:tabs>
        <w:tab w:val="center" w:pos="4677" w:leader="none"/>
        <w:tab w:val="right" w:pos="9355" w:leader="none"/>
        <w:tab w:val="right" w:pos="10631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592" w:hanging="36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1">
      <w:start w:val="1"/>
      <w:numFmt w:val="bullet"/>
      <w:isLgl w:val="false"/>
      <w:suff w:val="tab"/>
      <w:lvlText w:val="o"/>
      <w:lvlJc w:val="left"/>
      <w:pPr>
        <w:ind w:left="231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303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75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47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19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91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63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352" w:hanging="360"/>
      </w:pPr>
      <w:rPr>
        <w:rFonts w:ascii="Noto Sans Symbols" w:hAnsi="Noto Sans Symbols" w:eastAsia="Noto Sans Symbols" w:cs="Noto Sans Symbol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8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705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6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78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0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2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4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6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38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05" w:hanging="180"/>
      </w:p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0">
    <w:multiLevelType w:val="hybridMultilevel"/>
    <w:lvl w:ilvl="0">
      <w:start w:val="4"/>
      <w:numFmt w:val="bullet"/>
      <w:isLgl w:val="false"/>
      <w:suff w:val="tab"/>
      <w:lvlText w:val="-"/>
      <w:lvlJc w:val="left"/>
      <w:pPr>
        <w:ind w:left="849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7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2">
      <w:start w:val="1"/>
      <w:numFmt w:val="lowerRoman"/>
      <w:isLgl w:val="false"/>
      <w:suff w:val="tab"/>
      <w:lvlText w:val="%3"/>
      <w:lvlJc w:val="left"/>
      <w:pPr>
        <w:ind w:left="229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3">
      <w:start w:val="1"/>
      <w:numFmt w:val="decimal"/>
      <w:isLgl w:val="false"/>
      <w:suff w:val="tab"/>
      <w:lvlText w:val="%4"/>
      <w:lvlJc w:val="left"/>
      <w:pPr>
        <w:ind w:left="301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3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5">
      <w:start w:val="1"/>
      <w:numFmt w:val="lowerRoman"/>
      <w:isLgl w:val="false"/>
      <w:suff w:val="tab"/>
      <w:lvlText w:val="%6"/>
      <w:lvlJc w:val="left"/>
      <w:pPr>
        <w:ind w:left="445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6">
      <w:start w:val="1"/>
      <w:numFmt w:val="decimal"/>
      <w:isLgl w:val="false"/>
      <w:suff w:val="tab"/>
      <w:lvlText w:val="%7"/>
      <w:lvlJc w:val="left"/>
      <w:pPr>
        <w:ind w:left="517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9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8">
      <w:start w:val="1"/>
      <w:numFmt w:val="lowerRoman"/>
      <w:isLgl w:val="false"/>
      <w:suff w:val="tab"/>
      <w:lvlText w:val="%9"/>
      <w:lvlJc w:val="left"/>
      <w:pPr>
        <w:ind w:left="661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786" w:hanging="360"/>
      </w:pPr>
      <w:rPr>
        <w:rFonts w:ascii="Noto Sans Symbols" w:hAnsi="Noto Sans Symbols" w:eastAsia="Noto Sans Symbols" w:cs="Noto Sans Symbols"/>
        <w:sz w:val="36"/>
        <w:szCs w:val="36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226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946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86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106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546" w:hanging="360"/>
      </w:pPr>
      <w:rPr>
        <w:rFonts w:ascii="Noto Sans Symbols" w:hAnsi="Noto Sans Symbols" w:eastAsia="Noto Sans Symbols" w:cs="Noto Sans Symbols"/>
      </w:rPr>
    </w:lvl>
  </w:abstractNum>
  <w:abstractNum w:abstractNumId="12">
    <w:multiLevelType w:val="hybridMultilevel"/>
    <w:lvl w:ilvl="0">
      <w:start w:val="4"/>
      <w:numFmt w:val="bullet"/>
      <w:isLgl w:val="false"/>
      <w:suff w:val="tab"/>
      <w:lvlText w:val="-"/>
      <w:lvlJc w:val="left"/>
      <w:pPr>
        <w:ind w:left="705" w:hanging="360"/>
      </w:pPr>
      <w:rPr>
        <w:rFonts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1425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45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65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585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05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25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45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65" w:hanging="360"/>
      </w:pPr>
      <w:rPr>
        <w:rFonts w:ascii="Noto Sans Symbols" w:hAnsi="Noto Sans Symbols" w:eastAsia="Noto Sans Symbols" w:cs="Noto Sans Symbols"/>
      </w:rPr>
    </w:lvl>
  </w:abstractNum>
  <w:abstractNum w:abstractNumId="13">
    <w:multiLevelType w:val="hybridMultilevel"/>
    <w:lvl w:ilvl="0">
      <w:start w:val="1"/>
      <w:numFmt w:val="decimal"/>
      <w:pStyle w:val="1006"/>
      <w:isLgl w:val="false"/>
      <w:suff w:val="tab"/>
      <w:lvlText w:val="%1."/>
      <w:lvlJc w:val="left"/>
      <w:pPr>
        <w:ind w:left="849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1">
      <w:start w:val="1"/>
      <w:numFmt w:val="lowerLetter"/>
      <w:isLgl w:val="false"/>
      <w:suff w:val="tab"/>
      <w:lvlText w:val="%2"/>
      <w:lvlJc w:val="left"/>
      <w:pPr>
        <w:ind w:left="144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2">
      <w:start w:val="1"/>
      <w:numFmt w:val="lowerRoman"/>
      <w:isLgl w:val="false"/>
      <w:suff w:val="tab"/>
      <w:lvlText w:val="%3"/>
      <w:lvlJc w:val="left"/>
      <w:pPr>
        <w:ind w:left="216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3">
      <w:start w:val="1"/>
      <w:numFmt w:val="decimal"/>
      <w:isLgl w:val="false"/>
      <w:suff w:val="tab"/>
      <w:lvlText w:val="%4"/>
      <w:lvlJc w:val="left"/>
      <w:pPr>
        <w:ind w:left="288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0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5">
      <w:start w:val="1"/>
      <w:numFmt w:val="lowerRoman"/>
      <w:isLgl w:val="false"/>
      <w:suff w:val="tab"/>
      <w:lvlText w:val="%6"/>
      <w:lvlJc w:val="left"/>
      <w:pPr>
        <w:ind w:left="432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6">
      <w:start w:val="1"/>
      <w:numFmt w:val="decimal"/>
      <w:isLgl w:val="false"/>
      <w:suff w:val="tab"/>
      <w:lvlText w:val="%7"/>
      <w:lvlJc w:val="left"/>
      <w:pPr>
        <w:ind w:left="504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7">
      <w:start w:val="1"/>
      <w:numFmt w:val="lowerLetter"/>
      <w:isLgl w:val="false"/>
      <w:suff w:val="tab"/>
      <w:lvlText w:val="%8"/>
      <w:lvlJc w:val="left"/>
      <w:pPr>
        <w:ind w:left="576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8">
      <w:start w:val="1"/>
      <w:numFmt w:val="lowerRoman"/>
      <w:isLgl w:val="false"/>
      <w:suff w:val="tab"/>
      <w:lvlText w:val="%9"/>
      <w:lvlJc w:val="left"/>
      <w:pPr>
        <w:ind w:left="648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6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2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89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428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6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58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2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4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188" w:hanging="360"/>
      </w:pPr>
      <w:rPr>
        <w:rFonts w:ascii="Noto Sans Symbols" w:hAnsi="Noto Sans Symbols" w:eastAsia="Noto Sans Symbols" w:cs="Noto Sans Symbol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42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645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365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085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05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525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245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4965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685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05" w:hanging="360"/>
      </w:pPr>
      <w:rPr>
        <w:rFonts w:ascii="Noto Sans Symbols" w:hAnsi="Noto Sans Symbols" w:eastAsia="Noto Sans Symbols" w:cs="Noto Sans Symbols"/>
      </w:rPr>
    </w:lvl>
  </w:abstractNum>
  <w:abstractNum w:abstractNumId="20">
    <w:multiLevelType w:val="hybridMultilevel"/>
    <w:lvl w:ilvl="0">
      <w:start w:val="1"/>
      <w:numFmt w:val="bullet"/>
      <w:pStyle w:val="980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428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48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68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588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08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28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48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68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188" w:hanging="360"/>
      </w:pPr>
      <w:rPr>
        <w:rFonts w:ascii="Noto Sans Symbols" w:hAnsi="Noto Sans Symbols" w:eastAsia="Noto Sans Symbols" w:cs="Noto Sans Symbols"/>
      </w:rPr>
    </w:lvl>
  </w:abstractNum>
  <w:abstractNum w:abstractNumId="22">
    <w:multiLevelType w:val="hybridMultilevel"/>
    <w:lvl w:ilvl="0">
      <w:start w:val="4"/>
      <w:numFmt w:val="bullet"/>
      <w:pStyle w:val="994"/>
      <w:isLgl w:val="false"/>
      <w:suff w:val="tab"/>
      <w:lvlText w:val="-"/>
      <w:lvlJc w:val="left"/>
      <w:pPr>
        <w:ind w:left="849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1">
      <w:start w:val="1"/>
      <w:numFmt w:val="lowerLetter"/>
      <w:isLgl w:val="false"/>
      <w:suff w:val="tab"/>
      <w:lvlText w:val="%2"/>
      <w:lvlJc w:val="left"/>
      <w:pPr>
        <w:ind w:left="144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2">
      <w:start w:val="1"/>
      <w:numFmt w:val="lowerRoman"/>
      <w:isLgl w:val="false"/>
      <w:suff w:val="tab"/>
      <w:lvlText w:val="%3"/>
      <w:lvlJc w:val="left"/>
      <w:pPr>
        <w:ind w:left="216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3">
      <w:start w:val="1"/>
      <w:numFmt w:val="decimal"/>
      <w:isLgl w:val="false"/>
      <w:suff w:val="tab"/>
      <w:lvlText w:val="%4"/>
      <w:lvlJc w:val="left"/>
      <w:pPr>
        <w:ind w:left="288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4">
      <w:start w:val="1"/>
      <w:numFmt w:val="lowerLetter"/>
      <w:isLgl w:val="false"/>
      <w:suff w:val="tab"/>
      <w:lvlText w:val="%5"/>
      <w:lvlJc w:val="left"/>
      <w:pPr>
        <w:ind w:left="360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5">
      <w:start w:val="1"/>
      <w:numFmt w:val="lowerRoman"/>
      <w:isLgl w:val="false"/>
      <w:suff w:val="tab"/>
      <w:lvlText w:val="%6"/>
      <w:lvlJc w:val="left"/>
      <w:pPr>
        <w:ind w:left="432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6">
      <w:start w:val="1"/>
      <w:numFmt w:val="decimal"/>
      <w:isLgl w:val="false"/>
      <w:suff w:val="tab"/>
      <w:lvlText w:val="%7"/>
      <w:lvlJc w:val="left"/>
      <w:pPr>
        <w:ind w:left="504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7">
      <w:start w:val="1"/>
      <w:numFmt w:val="lowerLetter"/>
      <w:isLgl w:val="false"/>
      <w:suff w:val="tab"/>
      <w:lvlText w:val="%8"/>
      <w:lvlJc w:val="left"/>
      <w:pPr>
        <w:ind w:left="576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8">
      <w:start w:val="1"/>
      <w:numFmt w:val="lowerRoman"/>
      <w:isLgl w:val="false"/>
      <w:suff w:val="tab"/>
      <w:lvlText w:val="%9"/>
      <w:lvlJc w:val="left"/>
      <w:pPr>
        <w:ind w:left="6480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20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1">
      <w:start w:val="1"/>
      <w:numFmt w:val="lowerLetter"/>
      <w:isLgl w:val="false"/>
      <w:suff w:val="tab"/>
      <w:lvlText w:val="%2"/>
      <w:lvlJc w:val="left"/>
      <w:pPr>
        <w:ind w:left="178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2">
      <w:start w:val="1"/>
      <w:numFmt w:val="lowerRoman"/>
      <w:isLgl w:val="false"/>
      <w:suff w:val="tab"/>
      <w:lvlText w:val="%3"/>
      <w:lvlJc w:val="left"/>
      <w:pPr>
        <w:ind w:left="250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3">
      <w:start w:val="1"/>
      <w:numFmt w:val="decimal"/>
      <w:isLgl w:val="false"/>
      <w:suff w:val="tab"/>
      <w:lvlText w:val="%4"/>
      <w:lvlJc w:val="left"/>
      <w:pPr>
        <w:ind w:left="322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4">
      <w:start w:val="1"/>
      <w:numFmt w:val="lowerLetter"/>
      <w:isLgl w:val="false"/>
      <w:suff w:val="tab"/>
      <w:lvlText w:val="%5"/>
      <w:lvlJc w:val="left"/>
      <w:pPr>
        <w:ind w:left="394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5">
      <w:start w:val="1"/>
      <w:numFmt w:val="lowerRoman"/>
      <w:isLgl w:val="false"/>
      <w:suff w:val="tab"/>
      <w:lvlText w:val="%6"/>
      <w:lvlJc w:val="left"/>
      <w:pPr>
        <w:ind w:left="466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6">
      <w:start w:val="1"/>
      <w:numFmt w:val="decimal"/>
      <w:isLgl w:val="false"/>
      <w:suff w:val="tab"/>
      <w:lvlText w:val="%7"/>
      <w:lvlJc w:val="left"/>
      <w:pPr>
        <w:ind w:left="538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7">
      <w:start w:val="1"/>
      <w:numFmt w:val="lowerLetter"/>
      <w:isLgl w:val="false"/>
      <w:suff w:val="tab"/>
      <w:lvlText w:val="%8"/>
      <w:lvlJc w:val="left"/>
      <w:pPr>
        <w:ind w:left="610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8">
      <w:start w:val="1"/>
      <w:numFmt w:val="lowerRoman"/>
      <w:isLgl w:val="false"/>
      <w:suff w:val="tab"/>
      <w:lvlText w:val="%9"/>
      <w:lvlJc w:val="left"/>
      <w:pPr>
        <w:ind w:left="6828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849" w:firstLine="0"/>
      </w:pPr>
      <w:rPr>
        <w:rFonts w:ascii="Times New Roman" w:hAnsi="Times New Roman" w:eastAsia="Times New Roman" w:cs="Times New Roman"/>
        <w:color w:val="000000"/>
        <w:sz w:val="28"/>
        <w:szCs w:val="28"/>
        <w:u w:val="none"/>
      </w:rPr>
    </w:lvl>
    <w:lvl w:ilvl="1">
      <w:start w:val="1"/>
      <w:numFmt w:val="lowerLetter"/>
      <w:isLgl w:val="false"/>
      <w:suff w:val="tab"/>
      <w:lvlText w:val="%2"/>
      <w:lvlJc w:val="left"/>
      <w:pPr>
        <w:ind w:left="157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2">
      <w:start w:val="1"/>
      <w:numFmt w:val="lowerRoman"/>
      <w:isLgl w:val="false"/>
      <w:suff w:val="tab"/>
      <w:lvlText w:val="%3"/>
      <w:lvlJc w:val="left"/>
      <w:pPr>
        <w:ind w:left="229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3">
      <w:start w:val="1"/>
      <w:numFmt w:val="decimal"/>
      <w:isLgl w:val="false"/>
      <w:suff w:val="tab"/>
      <w:lvlText w:val="%4"/>
      <w:lvlJc w:val="left"/>
      <w:pPr>
        <w:ind w:left="301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4">
      <w:start w:val="1"/>
      <w:numFmt w:val="lowerLetter"/>
      <w:isLgl w:val="false"/>
      <w:suff w:val="tab"/>
      <w:lvlText w:val="%5"/>
      <w:lvlJc w:val="left"/>
      <w:pPr>
        <w:ind w:left="373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5">
      <w:start w:val="1"/>
      <w:numFmt w:val="lowerRoman"/>
      <w:isLgl w:val="false"/>
      <w:suff w:val="tab"/>
      <w:lvlText w:val="%6"/>
      <w:lvlJc w:val="left"/>
      <w:pPr>
        <w:ind w:left="445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6">
      <w:start w:val="1"/>
      <w:numFmt w:val="decimal"/>
      <w:isLgl w:val="false"/>
      <w:suff w:val="tab"/>
      <w:lvlText w:val="%7"/>
      <w:lvlJc w:val="left"/>
      <w:pPr>
        <w:ind w:left="517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7">
      <w:start w:val="1"/>
      <w:numFmt w:val="lowerLetter"/>
      <w:isLgl w:val="false"/>
      <w:suff w:val="tab"/>
      <w:lvlText w:val="%8"/>
      <w:lvlJc w:val="left"/>
      <w:pPr>
        <w:ind w:left="589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  <w:lvl w:ilvl="8">
      <w:start w:val="1"/>
      <w:numFmt w:val="lowerRoman"/>
      <w:isLgl w:val="false"/>
      <w:suff w:val="tab"/>
      <w:lvlText w:val="%9"/>
      <w:lvlJc w:val="left"/>
      <w:pPr>
        <w:ind w:left="6617" w:firstLine="0"/>
      </w:pPr>
      <w:rPr>
        <w:rFonts w:ascii="Calibri" w:hAnsi="Calibri" w:eastAsia="Calibri" w:cs="Calibri"/>
        <w:color w:val="000000"/>
        <w:sz w:val="28"/>
        <w:szCs w:val="28"/>
        <w:u w:val="none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862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582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302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022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742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462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182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902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622" w:hanging="360"/>
      </w:pPr>
      <w:rPr>
        <w:rFonts w:ascii="Noto Sans Symbols" w:hAnsi="Noto Sans Symbols" w:eastAsia="Noto Sans Symbols" w:cs="Noto Sans Symbol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7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1429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69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589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29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49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189" w:hanging="360"/>
      </w:pPr>
      <w:rPr>
        <w:rFonts w:ascii="Noto Sans Symbols" w:hAnsi="Noto Sans Symbols" w:eastAsia="Noto Sans Symbols" w:cs="Noto Sans Symbols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21"/>
  </w:num>
  <w:num w:numId="2">
    <w:abstractNumId w:val="22"/>
  </w:num>
  <w:num w:numId="3">
    <w:abstractNumId w:val="20"/>
  </w:num>
  <w:num w:numId="4">
    <w:abstractNumId w:val="13"/>
  </w:num>
  <w:num w:numId="5">
    <w:abstractNumId w:val="16"/>
  </w:num>
  <w:num w:numId="6">
    <w:abstractNumId w:val="28"/>
  </w:num>
  <w:num w:numId="7">
    <w:abstractNumId w:val="24"/>
  </w:num>
  <w:num w:numId="8">
    <w:abstractNumId w:val="25"/>
  </w:num>
  <w:num w:numId="9">
    <w:abstractNumId w:val="17"/>
  </w:num>
  <w:num w:numId="10">
    <w:abstractNumId w:val="15"/>
  </w:num>
  <w:num w:numId="11">
    <w:abstractNumId w:val="7"/>
  </w:num>
  <w:num w:numId="12">
    <w:abstractNumId w:val="12"/>
  </w:num>
  <w:num w:numId="13">
    <w:abstractNumId w:val="30"/>
  </w:num>
  <w:num w:numId="14">
    <w:abstractNumId w:val="29"/>
  </w:num>
  <w:num w:numId="15">
    <w:abstractNumId w:val="1"/>
  </w:num>
  <w:num w:numId="16">
    <w:abstractNumId w:val="23"/>
  </w:num>
  <w:num w:numId="17">
    <w:abstractNumId w:val="8"/>
  </w:num>
  <w:num w:numId="18">
    <w:abstractNumId w:val="10"/>
  </w:num>
  <w:num w:numId="19">
    <w:abstractNumId w:val="5"/>
  </w:num>
  <w:num w:numId="20">
    <w:abstractNumId w:val="4"/>
  </w:num>
  <w:num w:numId="21">
    <w:abstractNumId w:val="0"/>
  </w:num>
  <w:num w:numId="22">
    <w:abstractNumId w:val="19"/>
  </w:num>
  <w:num w:numId="23">
    <w:abstractNumId w:val="26"/>
  </w:num>
  <w:num w:numId="24">
    <w:abstractNumId w:val="3"/>
  </w:num>
  <w:num w:numId="25">
    <w:abstractNumId w:val="11"/>
  </w:num>
  <w:num w:numId="26">
    <w:abstractNumId w:val="6"/>
  </w:num>
  <w:num w:numId="27">
    <w:abstractNumId w:val="2"/>
  </w:num>
  <w:num w:numId="28">
    <w:abstractNumId w:val="18"/>
  </w:num>
  <w:num w:numId="29">
    <w:abstractNumId w:val="27"/>
  </w:num>
  <w:num w:numId="30">
    <w:abstractNumId w:val="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66" w:default="1">
    <w:name w:val="Normal"/>
    <w:qFormat/>
  </w:style>
  <w:style w:type="paragraph" w:styleId="767">
    <w:name w:val="Heading 1"/>
    <w:basedOn w:val="766"/>
    <w:next w:val="766"/>
    <w:link w:val="949"/>
    <w:uiPriority w:val="9"/>
    <w:qFormat/>
    <w:pPr>
      <w:keepNext/>
      <w:spacing w:before="240" w:after="120" w:line="360" w:lineRule="auto"/>
      <w:outlineLvl w:val="0"/>
    </w:pPr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paragraph" w:styleId="768">
    <w:name w:val="Heading 2"/>
    <w:basedOn w:val="766"/>
    <w:next w:val="766"/>
    <w:link w:val="950"/>
    <w:uiPriority w:val="9"/>
    <w:unhideWhenUsed/>
    <w:qFormat/>
    <w:pPr>
      <w:keepNext/>
      <w:spacing w:before="240" w:after="120" w:line="360" w:lineRule="auto"/>
      <w:outlineLvl w:val="1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769">
    <w:name w:val="Heading 3"/>
    <w:basedOn w:val="766"/>
    <w:next w:val="766"/>
    <w:link w:val="951"/>
    <w:uiPriority w:val="9"/>
    <w:unhideWhenUsed/>
    <w:qFormat/>
    <w:pPr>
      <w:keepNext/>
      <w:spacing w:before="120" w:after="0" w:line="360" w:lineRule="auto"/>
      <w:outlineLvl w:val="2"/>
    </w:pPr>
    <w:rPr>
      <w:rFonts w:ascii="Arial" w:hAnsi="Arial" w:eastAsia="Times New Roman" w:cs="Arial"/>
      <w:b/>
      <w:bCs/>
      <w:szCs w:val="26"/>
      <w:lang w:val="en-GB"/>
    </w:rPr>
  </w:style>
  <w:style w:type="paragraph" w:styleId="770">
    <w:name w:val="Heading 4"/>
    <w:basedOn w:val="766"/>
    <w:next w:val="766"/>
    <w:link w:val="952"/>
    <w:uiPriority w:val="9"/>
    <w:semiHidden/>
    <w:unhideWhenUsed/>
    <w:qFormat/>
    <w:pPr>
      <w:keepNext/>
      <w:spacing w:after="0" w:line="360" w:lineRule="auto"/>
      <w:widowControl w:val="off"/>
      <w:outlineLvl w:val="3"/>
    </w:pPr>
    <w:rPr>
      <w:rFonts w:ascii="Arial" w:hAnsi="Arial" w:eastAsia="Times New Roman" w:cs="Times New Roman"/>
      <w:b/>
      <w:sz w:val="28"/>
      <w:szCs w:val="20"/>
      <w:lang w:val="en-AU"/>
    </w:rPr>
  </w:style>
  <w:style w:type="paragraph" w:styleId="771">
    <w:name w:val="Heading 5"/>
    <w:basedOn w:val="766"/>
    <w:next w:val="766"/>
    <w:link w:val="953"/>
    <w:uiPriority w:val="9"/>
    <w:semiHidden/>
    <w:unhideWhenUsed/>
    <w:qFormat/>
    <w:pPr>
      <w:jc w:val="both"/>
      <w:keepNext/>
      <w:spacing w:after="0" w:line="360" w:lineRule="auto"/>
      <w:widowControl w:val="off"/>
      <w:outlineLvl w:val="4"/>
    </w:pPr>
    <w:rPr>
      <w:rFonts w:ascii="Arial" w:hAnsi="Arial" w:eastAsia="Times New Roman" w:cs="Times New Roman"/>
      <w:b/>
      <w:bCs/>
      <w:sz w:val="28"/>
      <w:szCs w:val="24"/>
      <w:lang w:val="en-GB"/>
    </w:rPr>
  </w:style>
  <w:style w:type="paragraph" w:styleId="772">
    <w:name w:val="Heading 6"/>
    <w:basedOn w:val="766"/>
    <w:next w:val="766"/>
    <w:link w:val="954"/>
    <w:uiPriority w:val="9"/>
    <w:semiHidden/>
    <w:unhideWhenUsed/>
    <w:qFormat/>
    <w:pPr>
      <w:keepNext/>
      <w:spacing w:after="58" w:line="360" w:lineRule="auto"/>
      <w:widowControl w:val="off"/>
      <w:outlineLvl w:val="5"/>
    </w:pPr>
    <w:rPr>
      <w:rFonts w:ascii="Arial" w:hAnsi="Arial" w:eastAsia="Times New Roman" w:cs="Times New Roman"/>
      <w:b/>
      <w:sz w:val="24"/>
      <w:szCs w:val="20"/>
      <w:lang w:val="en-AU"/>
    </w:rPr>
  </w:style>
  <w:style w:type="paragraph" w:styleId="773">
    <w:name w:val="Heading 7"/>
    <w:basedOn w:val="766"/>
    <w:next w:val="766"/>
    <w:link w:val="955"/>
    <w:qFormat/>
    <w:pPr>
      <w:jc w:val="both"/>
      <w:keepNext/>
      <w:spacing w:after="0" w:line="360" w:lineRule="auto"/>
      <w:widowControl w:val="off"/>
      <w:outlineLvl w:val="6"/>
    </w:pPr>
    <w:rPr>
      <w:rFonts w:ascii="Arial" w:hAnsi="Arial" w:eastAsia="Times New Roman" w:cs="Times New Roman"/>
      <w:spacing w:val="-3"/>
      <w:sz w:val="28"/>
      <w:szCs w:val="20"/>
      <w:lang w:val="en-US"/>
    </w:rPr>
  </w:style>
  <w:style w:type="paragraph" w:styleId="774">
    <w:name w:val="Heading 8"/>
    <w:basedOn w:val="766"/>
    <w:next w:val="766"/>
    <w:link w:val="956"/>
    <w:qFormat/>
    <w:pPr>
      <w:jc w:val="both"/>
      <w:keepNext/>
      <w:spacing w:after="0" w:line="360" w:lineRule="auto"/>
      <w:widowControl w:val="off"/>
      <w:outlineLvl w:val="7"/>
    </w:pPr>
    <w:rPr>
      <w:rFonts w:ascii="Arial" w:hAnsi="Arial" w:eastAsia="Times New Roman" w:cs="Times New Roman"/>
      <w:b/>
      <w:bCs/>
      <w:sz w:val="24"/>
      <w:szCs w:val="24"/>
      <w:lang w:val="en-GB"/>
    </w:rPr>
  </w:style>
  <w:style w:type="paragraph" w:styleId="775">
    <w:name w:val="Heading 9"/>
    <w:basedOn w:val="766"/>
    <w:next w:val="766"/>
    <w:link w:val="957"/>
    <w:qFormat/>
    <w:pPr>
      <w:ind w:left="360" w:firstLine="360"/>
      <w:jc w:val="both"/>
      <w:keepNext/>
      <w:spacing w:after="0" w:line="360" w:lineRule="auto"/>
      <w:widowControl w:val="off"/>
      <w:outlineLvl w:val="8"/>
    </w:pPr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776" w:default="1">
    <w:name w:val="Default Paragraph Font"/>
    <w:uiPriority w:val="1"/>
    <w:semiHidden/>
    <w:unhideWhenUsed/>
  </w:style>
  <w:style w:type="table" w:styleId="77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78" w:default="1">
    <w:name w:val="No List"/>
    <w:uiPriority w:val="99"/>
    <w:semiHidden/>
    <w:unhideWhenUsed/>
  </w:style>
  <w:style w:type="character" w:styleId="779" w:customStyle="1">
    <w:name w:val="Title Char"/>
    <w:basedOn w:val="776"/>
    <w:uiPriority w:val="10"/>
    <w:rPr>
      <w:sz w:val="48"/>
      <w:szCs w:val="48"/>
    </w:rPr>
  </w:style>
  <w:style w:type="character" w:styleId="780" w:customStyle="1">
    <w:name w:val="Subtitle Char"/>
    <w:basedOn w:val="776"/>
    <w:uiPriority w:val="11"/>
    <w:rPr>
      <w:sz w:val="24"/>
      <w:szCs w:val="24"/>
    </w:rPr>
  </w:style>
  <w:style w:type="character" w:styleId="781" w:customStyle="1">
    <w:name w:val="Quote Char"/>
    <w:uiPriority w:val="29"/>
    <w:rPr>
      <w:i/>
    </w:rPr>
  </w:style>
  <w:style w:type="character" w:styleId="782" w:customStyle="1">
    <w:name w:val="Intense Quote Char"/>
    <w:uiPriority w:val="30"/>
    <w:rPr>
      <w:i/>
    </w:rPr>
  </w:style>
  <w:style w:type="character" w:styleId="783" w:customStyle="1">
    <w:name w:val="Endnote Text Char"/>
    <w:uiPriority w:val="99"/>
    <w:rPr>
      <w:sz w:val="20"/>
    </w:rPr>
  </w:style>
  <w:style w:type="character" w:styleId="784" w:customStyle="1">
    <w:name w:val="Heading 1 Char"/>
    <w:basedOn w:val="776"/>
    <w:uiPriority w:val="9"/>
    <w:rPr>
      <w:rFonts w:ascii="Arial" w:hAnsi="Arial" w:eastAsia="Arial" w:cs="Arial"/>
      <w:sz w:val="40"/>
      <w:szCs w:val="40"/>
    </w:rPr>
  </w:style>
  <w:style w:type="character" w:styleId="785" w:customStyle="1">
    <w:name w:val="Heading 2 Char"/>
    <w:basedOn w:val="776"/>
    <w:uiPriority w:val="9"/>
    <w:rPr>
      <w:rFonts w:ascii="Arial" w:hAnsi="Arial" w:eastAsia="Arial" w:cs="Arial"/>
      <w:sz w:val="34"/>
    </w:rPr>
  </w:style>
  <w:style w:type="character" w:styleId="786" w:customStyle="1">
    <w:name w:val="Heading 3 Char"/>
    <w:basedOn w:val="776"/>
    <w:uiPriority w:val="9"/>
    <w:rPr>
      <w:rFonts w:ascii="Arial" w:hAnsi="Arial" w:eastAsia="Arial" w:cs="Arial"/>
      <w:sz w:val="30"/>
      <w:szCs w:val="30"/>
    </w:rPr>
  </w:style>
  <w:style w:type="character" w:styleId="787" w:customStyle="1">
    <w:name w:val="Heading 4 Char"/>
    <w:basedOn w:val="776"/>
    <w:uiPriority w:val="9"/>
    <w:rPr>
      <w:rFonts w:ascii="Arial" w:hAnsi="Arial" w:eastAsia="Arial" w:cs="Arial"/>
      <w:b/>
      <w:bCs/>
      <w:sz w:val="26"/>
      <w:szCs w:val="26"/>
    </w:rPr>
  </w:style>
  <w:style w:type="character" w:styleId="788" w:customStyle="1">
    <w:name w:val="Heading 5 Char"/>
    <w:basedOn w:val="776"/>
    <w:uiPriority w:val="9"/>
    <w:rPr>
      <w:rFonts w:ascii="Arial" w:hAnsi="Arial" w:eastAsia="Arial" w:cs="Arial"/>
      <w:b/>
      <w:bCs/>
      <w:sz w:val="24"/>
      <w:szCs w:val="24"/>
    </w:rPr>
  </w:style>
  <w:style w:type="character" w:styleId="789" w:customStyle="1">
    <w:name w:val="Heading 6 Char"/>
    <w:basedOn w:val="776"/>
    <w:uiPriority w:val="9"/>
    <w:rPr>
      <w:rFonts w:ascii="Arial" w:hAnsi="Arial" w:eastAsia="Arial" w:cs="Arial"/>
      <w:b/>
      <w:bCs/>
      <w:sz w:val="22"/>
      <w:szCs w:val="22"/>
    </w:rPr>
  </w:style>
  <w:style w:type="character" w:styleId="790" w:customStyle="1">
    <w:name w:val="Heading 7 Char"/>
    <w:basedOn w:val="7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1" w:customStyle="1">
    <w:name w:val="Heading 8 Char"/>
    <w:basedOn w:val="776"/>
    <w:uiPriority w:val="9"/>
    <w:rPr>
      <w:rFonts w:ascii="Arial" w:hAnsi="Arial" w:eastAsia="Arial" w:cs="Arial"/>
      <w:i/>
      <w:iCs/>
      <w:sz w:val="22"/>
      <w:szCs w:val="22"/>
    </w:rPr>
  </w:style>
  <w:style w:type="character" w:styleId="792" w:customStyle="1">
    <w:name w:val="Heading 9 Char"/>
    <w:basedOn w:val="776"/>
    <w:uiPriority w:val="9"/>
    <w:rPr>
      <w:rFonts w:ascii="Arial" w:hAnsi="Arial" w:eastAsia="Arial" w:cs="Arial"/>
      <w:i/>
      <w:iCs/>
      <w:sz w:val="21"/>
      <w:szCs w:val="21"/>
    </w:rPr>
  </w:style>
  <w:style w:type="character" w:styleId="793" w:customStyle="1">
    <w:name w:val="Заголовок Знак"/>
    <w:basedOn w:val="776"/>
    <w:link w:val="939"/>
    <w:uiPriority w:val="10"/>
    <w:rPr>
      <w:sz w:val="48"/>
      <w:szCs w:val="48"/>
    </w:rPr>
  </w:style>
  <w:style w:type="character" w:styleId="794" w:customStyle="1">
    <w:name w:val="Подзаголовок Знак"/>
    <w:basedOn w:val="776"/>
    <w:link w:val="1013"/>
    <w:uiPriority w:val="11"/>
    <w:rPr>
      <w:sz w:val="24"/>
      <w:szCs w:val="24"/>
    </w:rPr>
  </w:style>
  <w:style w:type="paragraph" w:styleId="795">
    <w:name w:val="Quote"/>
    <w:basedOn w:val="766"/>
    <w:next w:val="766"/>
    <w:link w:val="796"/>
    <w:uiPriority w:val="29"/>
    <w:qFormat/>
    <w:pPr>
      <w:ind w:left="720" w:right="720"/>
    </w:pPr>
    <w:rPr>
      <w:i/>
    </w:rPr>
  </w:style>
  <w:style w:type="character" w:styleId="796" w:customStyle="1">
    <w:name w:val="Цитата 2 Знак"/>
    <w:link w:val="795"/>
    <w:uiPriority w:val="29"/>
    <w:rPr>
      <w:i/>
    </w:rPr>
  </w:style>
  <w:style w:type="paragraph" w:styleId="797">
    <w:name w:val="Intense Quote"/>
    <w:basedOn w:val="766"/>
    <w:next w:val="766"/>
    <w:link w:val="79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98" w:customStyle="1">
    <w:name w:val="Выделенная цитата Знак"/>
    <w:link w:val="797"/>
    <w:uiPriority w:val="30"/>
    <w:rPr>
      <w:i/>
    </w:rPr>
  </w:style>
  <w:style w:type="character" w:styleId="799" w:customStyle="1">
    <w:name w:val="Header Char"/>
    <w:basedOn w:val="776"/>
    <w:uiPriority w:val="99"/>
  </w:style>
  <w:style w:type="character" w:styleId="800" w:customStyle="1">
    <w:name w:val="Footer Char"/>
    <w:basedOn w:val="776"/>
    <w:uiPriority w:val="99"/>
  </w:style>
  <w:style w:type="character" w:styleId="801" w:customStyle="1">
    <w:name w:val="Caption Char"/>
    <w:uiPriority w:val="99"/>
  </w:style>
  <w:style w:type="table" w:styleId="802" w:customStyle="1">
    <w:name w:val="Table Grid Light"/>
    <w:basedOn w:val="77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03">
    <w:name w:val="Plain Table 1"/>
    <w:basedOn w:val="777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4">
    <w:name w:val="Plain Table 2"/>
    <w:basedOn w:val="777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05">
    <w:name w:val="Plain Table 3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06">
    <w:name w:val="Plain Table 4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Plain Table 5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08">
    <w:name w:val="Grid Table 1 Light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 w:customStyle="1">
    <w:name w:val="Grid Table 1 Light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0" w:customStyle="1">
    <w:name w:val="Grid Table 1 Light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1" w:customStyle="1">
    <w:name w:val="Grid Table 1 Light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2" w:customStyle="1">
    <w:name w:val="Grid Table 1 Light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Grid Table 1 Light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Grid Table 1 Light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Grid Table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6" w:customStyle="1">
    <w:name w:val="Grid Table 2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2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8" w:customStyle="1">
    <w:name w:val="Grid Table 2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9" w:customStyle="1">
    <w:name w:val="Grid Table 2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0" w:customStyle="1">
    <w:name w:val="Grid Table 2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1" w:customStyle="1">
    <w:name w:val="Grid Table 2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2">
    <w:name w:val="Grid Table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3" w:customStyle="1">
    <w:name w:val="Grid Table 3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3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3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3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3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3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>
    <w:name w:val="Grid Table 4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0" w:customStyle="1">
    <w:name w:val="Grid Table 4 - Accent 1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831" w:customStyle="1">
    <w:name w:val="Grid Table 4 - Accent 2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2" w:customStyle="1">
    <w:name w:val="Grid Table 4 - Accent 3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3" w:customStyle="1">
    <w:name w:val="Grid Table 4 - Accent 4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4" w:customStyle="1">
    <w:name w:val="Grid Table 4 - Accent 5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835" w:customStyle="1">
    <w:name w:val="Grid Table 4 - Accent 6"/>
    <w:basedOn w:val="777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36">
    <w:name w:val="Grid Table 5 Dark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837" w:customStyle="1">
    <w:name w:val="Grid Table 5 Dark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838" w:customStyle="1">
    <w:name w:val="Grid Table 5 Dark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39" w:customStyle="1">
    <w:name w:val="Grid Table 5 Dark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40" w:customStyle="1">
    <w:name w:val="Grid Table 5 Dark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841" w:customStyle="1">
    <w:name w:val="Grid Table 5 Dark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842" w:customStyle="1">
    <w:name w:val="Grid Table 5 Dark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43">
    <w:name w:val="Grid Table 6 Colorful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44" w:customStyle="1">
    <w:name w:val="Grid Table 6 Colorful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845" w:customStyle="1">
    <w:name w:val="Grid Table 6 Colorful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846" w:customStyle="1">
    <w:name w:val="Grid Table 6 Colorful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847" w:customStyle="1">
    <w:name w:val="Grid Table 6 Colorful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848" w:customStyle="1">
    <w:name w:val="Grid Table 6 Colorful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49" w:customStyle="1">
    <w:name w:val="Grid Table 6 Colorful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850">
    <w:name w:val="Grid Table 7 Colorful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Grid Table 7 Colorful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2" w:customStyle="1">
    <w:name w:val="Grid Table 7 Colorful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3" w:customStyle="1">
    <w:name w:val="Grid Table 7 Colorful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4" w:customStyle="1">
    <w:name w:val="Grid Table 7 Colorful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5" w:customStyle="1">
    <w:name w:val="Grid Table 7 Colorful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6" w:customStyle="1">
    <w:name w:val="Grid Table 7 Colorful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7">
    <w:name w:val="List Table 1 Light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8" w:customStyle="1">
    <w:name w:val="List Table 1 Light - Accent 1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9" w:customStyle="1">
    <w:name w:val="List Table 1 Light - Accent 2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0" w:customStyle="1">
    <w:name w:val="List Table 1 Light - Accent 3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1" w:customStyle="1">
    <w:name w:val="List Table 1 Light - Accent 4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2" w:customStyle="1">
    <w:name w:val="List Table 1 Light - Accent 5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3" w:customStyle="1">
    <w:name w:val="List Table 1 Light - Accent 6"/>
    <w:basedOn w:val="777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4">
    <w:name w:val="List Table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65" w:customStyle="1">
    <w:name w:val="List Table 2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866" w:customStyle="1">
    <w:name w:val="List Table 2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67" w:customStyle="1">
    <w:name w:val="List Table 2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68" w:customStyle="1">
    <w:name w:val="List Table 2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69" w:customStyle="1">
    <w:name w:val="List Table 2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870" w:customStyle="1">
    <w:name w:val="List Table 2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71">
    <w:name w:val="List Table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 w:customStyle="1">
    <w:name w:val="List Table 3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 w:customStyle="1">
    <w:name w:val="List Table 3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 w:customStyle="1">
    <w:name w:val="List Table 3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 w:customStyle="1">
    <w:name w:val="List Table 3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 w:customStyle="1">
    <w:name w:val="List Table 3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List Table 3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>
    <w:name w:val="List Table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List Table 4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4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4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4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4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4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>
    <w:name w:val="List Table 5 Dark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6" w:customStyle="1">
    <w:name w:val="List Table 5 Dark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7" w:customStyle="1">
    <w:name w:val="List Table 5 Dark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8" w:customStyle="1">
    <w:name w:val="List Table 5 Dark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89" w:customStyle="1">
    <w:name w:val="List Table 5 Dark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0" w:customStyle="1">
    <w:name w:val="List Table 5 Dark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1" w:customStyle="1">
    <w:name w:val="List Table 5 Dark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92">
    <w:name w:val="List Table 6 Colorful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93" w:customStyle="1">
    <w:name w:val="List Table 6 Colorful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894" w:customStyle="1">
    <w:name w:val="List Table 6 Colorful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95" w:customStyle="1">
    <w:name w:val="List Table 6 Colorful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96" w:customStyle="1">
    <w:name w:val="List Table 6 Colorful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97" w:customStyle="1">
    <w:name w:val="List Table 6 Colorful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898" w:customStyle="1">
    <w:name w:val="List Table 6 Colorful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99">
    <w:name w:val="List Table 7 Colorful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0" w:customStyle="1">
    <w:name w:val="List Table 7 Colorful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1" w:customStyle="1">
    <w:name w:val="List Table 7 Colorful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2" w:customStyle="1">
    <w:name w:val="List Table 7 Colorful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3" w:customStyle="1">
    <w:name w:val="List Table 7 Colorful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7 Colorful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7 Colorful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Lined - Accent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07" w:customStyle="1">
    <w:name w:val="Lined - Accent 1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08" w:customStyle="1">
    <w:name w:val="Lined - Accent 2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09" w:customStyle="1">
    <w:name w:val="Lined - Accent 3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10" w:customStyle="1">
    <w:name w:val="Lined - Accent 4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1" w:customStyle="1">
    <w:name w:val="Lined - Accent 5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2" w:customStyle="1">
    <w:name w:val="Lined - Accent 6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13" w:customStyle="1">
    <w:name w:val="Bordered &amp; Lined - Accent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914" w:customStyle="1">
    <w:name w:val="Bordered &amp; Lined - Accent 1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915" w:customStyle="1">
    <w:name w:val="Bordered &amp; Lined - Accent 2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916" w:customStyle="1">
    <w:name w:val="Bordered &amp; Lined - Accent 3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917" w:customStyle="1">
    <w:name w:val="Bordered &amp; Lined - Accent 4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918" w:customStyle="1">
    <w:name w:val="Bordered &amp; Lined - Accent 5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919" w:customStyle="1">
    <w:name w:val="Bordered &amp; Lined - Accent 6"/>
    <w:basedOn w:val="777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920" w:customStyle="1">
    <w:name w:val="Bordered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921" w:customStyle="1">
    <w:name w:val="Bordered - Accent 1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922" w:customStyle="1">
    <w:name w:val="Bordered - Accent 2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923" w:customStyle="1">
    <w:name w:val="Bordered - Accent 3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924" w:customStyle="1">
    <w:name w:val="Bordered - Accent 4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925" w:customStyle="1">
    <w:name w:val="Bordered - Accent 5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926" w:customStyle="1">
    <w:name w:val="Bordered - Accent 6"/>
    <w:basedOn w:val="777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927" w:customStyle="1">
    <w:name w:val="Footnote Text Char"/>
    <w:uiPriority w:val="99"/>
    <w:rPr>
      <w:sz w:val="18"/>
    </w:rPr>
  </w:style>
  <w:style w:type="paragraph" w:styleId="928">
    <w:name w:val="endnote text"/>
    <w:basedOn w:val="766"/>
    <w:link w:val="929"/>
    <w:uiPriority w:val="99"/>
    <w:semiHidden/>
    <w:unhideWhenUsed/>
    <w:pPr>
      <w:spacing w:after="0" w:line="240" w:lineRule="auto"/>
    </w:pPr>
    <w:rPr>
      <w:sz w:val="20"/>
    </w:rPr>
  </w:style>
  <w:style w:type="character" w:styleId="929" w:customStyle="1">
    <w:name w:val="Текст концевой сноски Знак"/>
    <w:link w:val="928"/>
    <w:uiPriority w:val="99"/>
    <w:rPr>
      <w:sz w:val="20"/>
    </w:rPr>
  </w:style>
  <w:style w:type="character" w:styleId="930">
    <w:name w:val="endnote reference"/>
    <w:basedOn w:val="776"/>
    <w:uiPriority w:val="99"/>
    <w:semiHidden/>
    <w:unhideWhenUsed/>
    <w:rPr>
      <w:vertAlign w:val="superscript"/>
    </w:rPr>
  </w:style>
  <w:style w:type="paragraph" w:styleId="931">
    <w:name w:val="toc 4"/>
    <w:basedOn w:val="766"/>
    <w:next w:val="766"/>
    <w:uiPriority w:val="39"/>
    <w:unhideWhenUsed/>
    <w:pPr>
      <w:ind w:left="850"/>
      <w:spacing w:after="57"/>
    </w:pPr>
  </w:style>
  <w:style w:type="paragraph" w:styleId="932">
    <w:name w:val="toc 5"/>
    <w:basedOn w:val="766"/>
    <w:next w:val="766"/>
    <w:uiPriority w:val="39"/>
    <w:unhideWhenUsed/>
    <w:pPr>
      <w:ind w:left="1134"/>
      <w:spacing w:after="57"/>
    </w:pPr>
  </w:style>
  <w:style w:type="paragraph" w:styleId="933">
    <w:name w:val="toc 6"/>
    <w:basedOn w:val="766"/>
    <w:next w:val="766"/>
    <w:uiPriority w:val="39"/>
    <w:unhideWhenUsed/>
    <w:pPr>
      <w:ind w:left="1417"/>
      <w:spacing w:after="57"/>
    </w:pPr>
  </w:style>
  <w:style w:type="paragraph" w:styleId="934">
    <w:name w:val="toc 7"/>
    <w:basedOn w:val="766"/>
    <w:next w:val="766"/>
    <w:uiPriority w:val="39"/>
    <w:unhideWhenUsed/>
    <w:pPr>
      <w:ind w:left="1701"/>
      <w:spacing w:after="57"/>
    </w:pPr>
  </w:style>
  <w:style w:type="paragraph" w:styleId="935">
    <w:name w:val="toc 8"/>
    <w:basedOn w:val="766"/>
    <w:next w:val="766"/>
    <w:uiPriority w:val="39"/>
    <w:unhideWhenUsed/>
    <w:pPr>
      <w:ind w:left="1984"/>
      <w:spacing w:after="57"/>
    </w:pPr>
  </w:style>
  <w:style w:type="paragraph" w:styleId="936">
    <w:name w:val="toc 9"/>
    <w:basedOn w:val="766"/>
    <w:next w:val="766"/>
    <w:uiPriority w:val="39"/>
    <w:unhideWhenUsed/>
    <w:pPr>
      <w:ind w:left="2268"/>
      <w:spacing w:after="57"/>
    </w:pPr>
  </w:style>
  <w:style w:type="paragraph" w:styleId="937">
    <w:name w:val="table of figures"/>
    <w:basedOn w:val="766"/>
    <w:next w:val="766"/>
    <w:uiPriority w:val="99"/>
    <w:unhideWhenUsed/>
    <w:pPr>
      <w:spacing w:after="0"/>
    </w:pPr>
  </w:style>
  <w:style w:type="table" w:styleId="938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939">
    <w:name w:val="Title"/>
    <w:basedOn w:val="766"/>
    <w:next w:val="766"/>
    <w:link w:val="793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940">
    <w:name w:val="Header"/>
    <w:basedOn w:val="766"/>
    <w:link w:val="941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1" w:customStyle="1">
    <w:name w:val="Верхний колонтитул Знак"/>
    <w:basedOn w:val="776"/>
    <w:link w:val="940"/>
    <w:uiPriority w:val="99"/>
  </w:style>
  <w:style w:type="paragraph" w:styleId="942">
    <w:name w:val="Footer"/>
    <w:basedOn w:val="766"/>
    <w:link w:val="943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943" w:customStyle="1">
    <w:name w:val="Нижний колонтитул Знак"/>
    <w:basedOn w:val="776"/>
    <w:link w:val="942"/>
    <w:uiPriority w:val="99"/>
  </w:style>
  <w:style w:type="paragraph" w:styleId="944">
    <w:name w:val="No Spacing"/>
    <w:link w:val="945"/>
    <w:uiPriority w:val="1"/>
    <w:qFormat/>
    <w:pPr>
      <w:spacing w:after="0" w:line="240" w:lineRule="auto"/>
    </w:pPr>
    <w:rPr>
      <w:rFonts w:eastAsiaTheme="minorEastAsia"/>
    </w:rPr>
  </w:style>
  <w:style w:type="character" w:styleId="945" w:customStyle="1">
    <w:name w:val="Без интервала Знак"/>
    <w:basedOn w:val="776"/>
    <w:link w:val="944"/>
    <w:uiPriority w:val="1"/>
    <w:rPr>
      <w:rFonts w:eastAsiaTheme="minorEastAsia"/>
      <w:lang w:eastAsia="ru-RU"/>
    </w:rPr>
  </w:style>
  <w:style w:type="character" w:styleId="946">
    <w:name w:val="Placeholder Text"/>
    <w:basedOn w:val="776"/>
    <w:uiPriority w:val="99"/>
    <w:semiHidden/>
    <w:rPr>
      <w:color w:val="808080"/>
    </w:rPr>
  </w:style>
  <w:style w:type="paragraph" w:styleId="947">
    <w:name w:val="Balloon Text"/>
    <w:basedOn w:val="766"/>
    <w:link w:val="948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48" w:customStyle="1">
    <w:name w:val="Текст выноски Знак"/>
    <w:basedOn w:val="776"/>
    <w:link w:val="947"/>
    <w:rPr>
      <w:rFonts w:ascii="Tahoma" w:hAnsi="Tahoma" w:cs="Tahoma"/>
      <w:sz w:val="16"/>
      <w:szCs w:val="16"/>
    </w:rPr>
  </w:style>
  <w:style w:type="character" w:styleId="949" w:customStyle="1">
    <w:name w:val="Заголовок 1 Знак"/>
    <w:basedOn w:val="776"/>
    <w:link w:val="767"/>
    <w:rPr>
      <w:rFonts w:ascii="Arial" w:hAnsi="Arial" w:eastAsia="Times New Roman" w:cs="Times New Roman"/>
      <w:b/>
      <w:bCs/>
      <w:caps/>
      <w:color w:val="2c8de6"/>
      <w:sz w:val="36"/>
      <w:szCs w:val="24"/>
      <w:lang w:val="en-GB"/>
    </w:rPr>
  </w:style>
  <w:style w:type="character" w:styleId="950" w:customStyle="1">
    <w:name w:val="Заголовок 2 Знак"/>
    <w:basedOn w:val="776"/>
    <w:link w:val="768"/>
    <w:rPr>
      <w:rFonts w:ascii="Arial" w:hAnsi="Arial" w:eastAsia="Times New Roman" w:cs="Times New Roman"/>
      <w:b/>
      <w:sz w:val="28"/>
      <w:szCs w:val="24"/>
      <w:lang w:val="en-GB"/>
    </w:rPr>
  </w:style>
  <w:style w:type="character" w:styleId="951" w:customStyle="1">
    <w:name w:val="Заголовок 3 Знак"/>
    <w:basedOn w:val="776"/>
    <w:link w:val="769"/>
    <w:rPr>
      <w:rFonts w:ascii="Arial" w:hAnsi="Arial" w:eastAsia="Times New Roman" w:cs="Arial"/>
      <w:b/>
      <w:bCs/>
      <w:szCs w:val="26"/>
      <w:lang w:val="en-GB"/>
    </w:rPr>
  </w:style>
  <w:style w:type="character" w:styleId="952" w:customStyle="1">
    <w:name w:val="Заголовок 4 Знак"/>
    <w:basedOn w:val="776"/>
    <w:link w:val="770"/>
    <w:rPr>
      <w:rFonts w:ascii="Arial" w:hAnsi="Arial" w:eastAsia="Times New Roman" w:cs="Times New Roman"/>
      <w:b/>
      <w:sz w:val="28"/>
      <w:szCs w:val="20"/>
      <w:lang w:val="en-AU"/>
    </w:rPr>
  </w:style>
  <w:style w:type="character" w:styleId="953" w:customStyle="1">
    <w:name w:val="Заголовок 5 Знак"/>
    <w:basedOn w:val="776"/>
    <w:link w:val="771"/>
    <w:rPr>
      <w:rFonts w:ascii="Arial" w:hAnsi="Arial" w:eastAsia="Times New Roman" w:cs="Times New Roman"/>
      <w:b/>
      <w:bCs/>
      <w:sz w:val="28"/>
      <w:szCs w:val="24"/>
      <w:lang w:val="en-GB"/>
    </w:rPr>
  </w:style>
  <w:style w:type="character" w:styleId="954" w:customStyle="1">
    <w:name w:val="Заголовок 6 Знак"/>
    <w:basedOn w:val="776"/>
    <w:link w:val="772"/>
    <w:rPr>
      <w:rFonts w:ascii="Arial" w:hAnsi="Arial" w:eastAsia="Times New Roman" w:cs="Times New Roman"/>
      <w:b/>
      <w:sz w:val="24"/>
      <w:szCs w:val="20"/>
      <w:lang w:val="en-AU"/>
    </w:rPr>
  </w:style>
  <w:style w:type="character" w:styleId="955" w:customStyle="1">
    <w:name w:val="Заголовок 7 Знак"/>
    <w:basedOn w:val="776"/>
    <w:link w:val="773"/>
    <w:rPr>
      <w:rFonts w:ascii="Arial" w:hAnsi="Arial" w:eastAsia="Times New Roman" w:cs="Times New Roman"/>
      <w:spacing w:val="-3"/>
      <w:sz w:val="28"/>
      <w:szCs w:val="20"/>
      <w:lang w:val="en-US"/>
    </w:rPr>
  </w:style>
  <w:style w:type="character" w:styleId="956" w:customStyle="1">
    <w:name w:val="Заголовок 8 Знак"/>
    <w:basedOn w:val="776"/>
    <w:link w:val="774"/>
    <w:rPr>
      <w:rFonts w:ascii="Arial" w:hAnsi="Arial" w:eastAsia="Times New Roman" w:cs="Times New Roman"/>
      <w:b/>
      <w:bCs/>
      <w:sz w:val="24"/>
      <w:szCs w:val="24"/>
      <w:lang w:val="en-GB"/>
    </w:rPr>
  </w:style>
  <w:style w:type="character" w:styleId="957" w:customStyle="1">
    <w:name w:val="Заголовок 9 Знак"/>
    <w:basedOn w:val="776"/>
    <w:link w:val="775"/>
    <w:rPr>
      <w:rFonts w:ascii="Arial" w:hAnsi="Arial" w:eastAsia="Times New Roman" w:cs="Times New Roman"/>
      <w:sz w:val="24"/>
      <w:szCs w:val="20"/>
      <w:u w:val="single"/>
      <w:lang w:val="en-AU"/>
    </w:rPr>
  </w:style>
  <w:style w:type="character" w:styleId="958">
    <w:name w:val="Hyperlink"/>
    <w:uiPriority w:val="99"/>
    <w:rPr>
      <w:color w:val="0000ff"/>
      <w:u w:val="single"/>
    </w:rPr>
  </w:style>
  <w:style w:type="table" w:styleId="959">
    <w:name w:val="Table Grid"/>
    <w:basedOn w:val="777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60">
    <w:name w:val="toc 1"/>
    <w:basedOn w:val="766"/>
    <w:next w:val="766"/>
    <w:uiPriority w:val="39"/>
    <w:qFormat/>
    <w:pPr>
      <w:spacing w:after="0" w:line="360" w:lineRule="auto"/>
      <w:tabs>
        <w:tab w:val="right" w:pos="9825" w:leader="dot"/>
      </w:tabs>
    </w:pPr>
    <w:rPr>
      <w:rFonts w:ascii="Arial" w:hAnsi="Arial" w:eastAsia="Times New Roman" w:cs="Times New Roman"/>
      <w:bCs/>
      <w:sz w:val="24"/>
      <w:szCs w:val="28"/>
      <w:lang w:val="en-AU"/>
    </w:rPr>
  </w:style>
  <w:style w:type="paragraph" w:styleId="961" w:customStyle="1">
    <w:name w:val="numbered list"/>
    <w:basedOn w:val="962"/>
  </w:style>
  <w:style w:type="paragraph" w:styleId="962" w:customStyle="1">
    <w:name w:val="bullet"/>
    <w:basedOn w:val="766"/>
    <w:pPr>
      <w:ind w:left="1428" w:hanging="360"/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63">
    <w:name w:val="page number"/>
    <w:rPr>
      <w:rFonts w:ascii="Arial" w:hAnsi="Arial"/>
      <w:sz w:val="16"/>
    </w:rPr>
  </w:style>
  <w:style w:type="paragraph" w:styleId="964" w:customStyle="1">
    <w:name w:val="Doc subtitle1"/>
    <w:basedOn w:val="766"/>
    <w:link w:val="975"/>
    <w:pPr>
      <w:spacing w:after="0" w:line="360" w:lineRule="auto"/>
    </w:pPr>
    <w:rPr>
      <w:rFonts w:ascii="Arial" w:hAnsi="Arial" w:eastAsia="Times New Roman" w:cs="Times New Roman"/>
      <w:b/>
      <w:sz w:val="28"/>
      <w:szCs w:val="24"/>
      <w:lang w:val="en-GB"/>
    </w:rPr>
  </w:style>
  <w:style w:type="paragraph" w:styleId="965" w:customStyle="1">
    <w:name w:val="Doc subtitle2"/>
    <w:basedOn w:val="766"/>
    <w:pPr>
      <w:spacing w:after="0" w:line="360" w:lineRule="auto"/>
    </w:pPr>
    <w:rPr>
      <w:rFonts w:ascii="Arial" w:hAnsi="Arial" w:eastAsia="Times New Roman" w:cs="Times New Roman"/>
      <w:sz w:val="28"/>
      <w:szCs w:val="24"/>
      <w:lang w:val="en-GB"/>
    </w:rPr>
  </w:style>
  <w:style w:type="paragraph" w:styleId="966" w:customStyle="1">
    <w:name w:val="Doc title"/>
    <w:basedOn w:val="766"/>
    <w:pPr>
      <w:spacing w:after="0" w:line="360" w:lineRule="auto"/>
    </w:pPr>
    <w:rPr>
      <w:rFonts w:ascii="Arial" w:hAnsi="Arial" w:eastAsia="Times New Roman" w:cs="Times New Roman"/>
      <w:b/>
      <w:sz w:val="40"/>
      <w:szCs w:val="24"/>
      <w:lang w:val="en-GB"/>
    </w:rPr>
  </w:style>
  <w:style w:type="paragraph" w:styleId="967">
    <w:name w:val="Body Text"/>
    <w:basedOn w:val="766"/>
    <w:link w:val="968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z w:val="24"/>
      <w:szCs w:val="20"/>
      <w:lang w:val="en-AU"/>
    </w:rPr>
  </w:style>
  <w:style w:type="character" w:styleId="968" w:customStyle="1">
    <w:name w:val="Основной текст Знак"/>
    <w:basedOn w:val="776"/>
    <w:link w:val="967"/>
    <w:semiHidden/>
    <w:rPr>
      <w:rFonts w:ascii="Arial" w:hAnsi="Arial" w:eastAsia="Times New Roman" w:cs="Times New Roman"/>
      <w:sz w:val="24"/>
      <w:szCs w:val="20"/>
      <w:lang w:val="en-AU"/>
    </w:rPr>
  </w:style>
  <w:style w:type="paragraph" w:styleId="969">
    <w:name w:val="Body Text Indent 2"/>
    <w:basedOn w:val="766"/>
    <w:link w:val="970"/>
    <w:semiHidden/>
    <w:pPr>
      <w:ind w:left="720"/>
      <w:spacing w:after="0" w:line="360" w:lineRule="auto"/>
    </w:pPr>
    <w:rPr>
      <w:rFonts w:ascii="Arial" w:hAnsi="Arial" w:eastAsia="Times New Roman" w:cs="Times New Roman"/>
      <w:sz w:val="24"/>
      <w:szCs w:val="20"/>
      <w:lang w:val="en-US"/>
    </w:rPr>
  </w:style>
  <w:style w:type="character" w:styleId="970" w:customStyle="1">
    <w:name w:val="Основной текст с отступом 2 Знак"/>
    <w:basedOn w:val="776"/>
    <w:link w:val="969"/>
    <w:semiHidden/>
    <w:rPr>
      <w:rFonts w:ascii="Arial" w:hAnsi="Arial" w:eastAsia="Times New Roman" w:cs="Times New Roman"/>
      <w:sz w:val="24"/>
      <w:szCs w:val="20"/>
      <w:lang w:val="en-US"/>
    </w:rPr>
  </w:style>
  <w:style w:type="paragraph" w:styleId="971">
    <w:name w:val="Body Text 2"/>
    <w:basedOn w:val="766"/>
    <w:link w:val="972"/>
    <w:semiHidden/>
    <w:pPr>
      <w:jc w:val="both"/>
      <w:spacing w:after="0" w:line="360" w:lineRule="auto"/>
      <w:widowControl w:val="off"/>
    </w:pPr>
    <w:rPr>
      <w:rFonts w:ascii="Arial" w:hAnsi="Arial" w:eastAsia="Times New Roman" w:cs="Times New Roman"/>
      <w:spacing w:val="-3"/>
      <w:szCs w:val="20"/>
      <w:lang w:val="en-US"/>
    </w:rPr>
  </w:style>
  <w:style w:type="character" w:styleId="972" w:customStyle="1">
    <w:name w:val="Основной текст 2 Знак"/>
    <w:basedOn w:val="776"/>
    <w:link w:val="971"/>
    <w:semiHidden/>
    <w:rPr>
      <w:rFonts w:ascii="Arial" w:hAnsi="Arial" w:eastAsia="Times New Roman" w:cs="Times New Roman"/>
      <w:spacing w:val="-3"/>
      <w:szCs w:val="20"/>
      <w:lang w:val="en-US"/>
    </w:rPr>
  </w:style>
  <w:style w:type="paragraph" w:styleId="973">
    <w:name w:val="Caption"/>
    <w:basedOn w:val="766"/>
    <w:next w:val="766"/>
    <w:qFormat/>
    <w:pPr>
      <w:jc w:val="center"/>
      <w:spacing w:before="240" w:after="0" w:line="360" w:lineRule="auto"/>
      <w:widowControl w:val="off"/>
    </w:pPr>
    <w:rPr>
      <w:rFonts w:ascii="Arial" w:hAnsi="Arial" w:eastAsia="Times New Roman" w:cs="Times New Roman"/>
      <w:b/>
      <w:sz w:val="36"/>
      <w:szCs w:val="20"/>
      <w:lang w:val="en-AU"/>
    </w:rPr>
  </w:style>
  <w:style w:type="paragraph" w:styleId="974" w:customStyle="1">
    <w:name w:val="Абзац списка1"/>
    <w:basedOn w:val="766"/>
    <w:pPr>
      <w:ind w:left="720"/>
      <w:spacing w:after="0" w:line="360" w:lineRule="auto"/>
    </w:pPr>
    <w:rPr>
      <w:rFonts w:ascii="Arial" w:hAnsi="Arial" w:eastAsia="Times New Roman" w:cs="Times New Roman"/>
      <w:szCs w:val="24"/>
      <w:lang w:val="en-GB"/>
    </w:rPr>
  </w:style>
  <w:style w:type="character" w:styleId="975" w:customStyle="1">
    <w:name w:val="Doc subtitle1 Char"/>
    <w:link w:val="964"/>
    <w:rPr>
      <w:rFonts w:ascii="Arial" w:hAnsi="Arial" w:eastAsia="Times New Roman" w:cs="Times New Roman"/>
      <w:b/>
      <w:sz w:val="28"/>
      <w:szCs w:val="24"/>
      <w:lang w:val="en-GB"/>
    </w:rPr>
  </w:style>
  <w:style w:type="paragraph" w:styleId="976">
    <w:name w:val="footnote text"/>
    <w:basedOn w:val="766"/>
    <w:link w:val="977"/>
    <w:pPr>
      <w:spacing w:after="0" w:line="360" w:lineRule="auto"/>
    </w:pPr>
    <w:rPr>
      <w:rFonts w:ascii="Times New Roman" w:hAnsi="Times New Roman" w:eastAsia="Times New Roman" w:cs="Times New Roman"/>
      <w:szCs w:val="20"/>
    </w:rPr>
  </w:style>
  <w:style w:type="character" w:styleId="977" w:customStyle="1">
    <w:name w:val="Текст сноски Знак"/>
    <w:basedOn w:val="776"/>
    <w:link w:val="976"/>
    <w:rPr>
      <w:rFonts w:ascii="Times New Roman" w:hAnsi="Times New Roman" w:eastAsia="Times New Roman" w:cs="Times New Roman"/>
      <w:szCs w:val="20"/>
      <w:lang w:eastAsia="ru-RU"/>
    </w:rPr>
  </w:style>
  <w:style w:type="character" w:styleId="978">
    <w:name w:val="footnote reference"/>
    <w:rPr>
      <w:vertAlign w:val="superscript"/>
    </w:rPr>
  </w:style>
  <w:style w:type="character" w:styleId="979">
    <w:name w:val="FollowedHyperlink"/>
    <w:rPr>
      <w:color w:val="800080"/>
      <w:u w:val="single"/>
    </w:rPr>
  </w:style>
  <w:style w:type="paragraph" w:styleId="980" w:customStyle="1">
    <w:name w:val="цветной текст"/>
    <w:basedOn w:val="766"/>
    <w:qFormat/>
    <w:pPr>
      <w:numPr>
        <w:numId w:val="3"/>
      </w:numPr>
      <w:jc w:val="both"/>
      <w:spacing w:after="0" w:line="360" w:lineRule="auto"/>
    </w:pPr>
    <w:rPr>
      <w:rFonts w:ascii="Times New Roman" w:hAnsi="Times New Roman" w:eastAsia="Times New Roman" w:cs="Times New Roman"/>
      <w:color w:val="2c8de6"/>
      <w:szCs w:val="20"/>
    </w:rPr>
  </w:style>
  <w:style w:type="paragraph" w:styleId="981" w:customStyle="1">
    <w:name w:val="538552DCBB0F4C4BB087ED922D6A6322"/>
    <w:pPr>
      <w:spacing w:after="200" w:line="276" w:lineRule="auto"/>
    </w:pPr>
    <w:rPr>
      <w:rFonts w:eastAsia="Times New Roman" w:cs="Times New Roman"/>
    </w:rPr>
  </w:style>
  <w:style w:type="paragraph" w:styleId="982" w:customStyle="1">
    <w:name w:val="выделение цвет"/>
    <w:basedOn w:val="766"/>
    <w:link w:val="995"/>
    <w:pPr>
      <w:jc w:val="both"/>
      <w:spacing w:after="0" w:line="360" w:lineRule="auto"/>
    </w:pPr>
    <w:rPr>
      <w:rFonts w:ascii="Times New Roman" w:hAnsi="Times New Roman" w:eastAsia="Times New Roman" w:cs="Times New Roman"/>
      <w:b/>
      <w:color w:val="2c8de6"/>
      <w:szCs w:val="20"/>
      <w:u w:val="single"/>
    </w:rPr>
  </w:style>
  <w:style w:type="character" w:styleId="983" w:customStyle="1">
    <w:name w:val="цвет в таблице"/>
    <w:rPr>
      <w:color w:val="2c8de6"/>
    </w:rPr>
  </w:style>
  <w:style w:type="paragraph" w:styleId="984">
    <w:name w:val="TOC Heading"/>
    <w:basedOn w:val="767"/>
    <w:next w:val="766"/>
    <w:uiPriority w:val="39"/>
    <w:semiHidden/>
    <w:unhideWhenUsed/>
    <w:qFormat/>
    <w:pPr>
      <w:keepLines/>
      <w:spacing w:before="480" w:after="0" w:line="276" w:lineRule="auto"/>
      <w:outlineLvl w:val="9"/>
    </w:pPr>
    <w:rPr>
      <w:rFonts w:ascii="Cambria" w:hAnsi="Cambria"/>
      <w:color w:val="365f91"/>
      <w:sz w:val="28"/>
      <w:szCs w:val="28"/>
      <w:lang w:val="ru-RU"/>
    </w:rPr>
  </w:style>
  <w:style w:type="paragraph" w:styleId="985">
    <w:name w:val="toc 2"/>
    <w:basedOn w:val="766"/>
    <w:next w:val="766"/>
    <w:uiPriority w:val="39"/>
    <w:qFormat/>
    <w:pPr>
      <w:spacing w:after="0" w:line="240" w:lineRule="auto"/>
      <w:tabs>
        <w:tab w:val="left" w:pos="142" w:leader="none"/>
        <w:tab w:val="right" w:pos="9639" w:leader="dot"/>
      </w:tabs>
    </w:pPr>
    <w:rPr>
      <w:rFonts w:ascii="Times New Roman" w:hAnsi="Times New Roman" w:eastAsia="Times New Roman" w:cs="Times New Roman"/>
      <w:szCs w:val="20"/>
    </w:rPr>
  </w:style>
  <w:style w:type="paragraph" w:styleId="986">
    <w:name w:val="toc 3"/>
    <w:basedOn w:val="766"/>
    <w:next w:val="766"/>
    <w:uiPriority w:val="39"/>
    <w:unhideWhenUsed/>
    <w:qFormat/>
    <w:pPr>
      <w:ind w:left="440"/>
      <w:spacing w:after="100" w:line="276" w:lineRule="auto"/>
    </w:pPr>
    <w:rPr>
      <w:rFonts w:eastAsia="Times New Roman" w:cs="Times New Roman"/>
    </w:rPr>
  </w:style>
  <w:style w:type="paragraph" w:styleId="987" w:customStyle="1">
    <w:name w:val="!Заголовок-1"/>
    <w:basedOn w:val="767"/>
    <w:link w:val="989"/>
    <w:qFormat/>
    <w:rPr>
      <w:lang w:val="ru-RU"/>
    </w:rPr>
  </w:style>
  <w:style w:type="paragraph" w:styleId="988" w:customStyle="1">
    <w:name w:val="!заголовок-2"/>
    <w:basedOn w:val="768"/>
    <w:link w:val="991"/>
    <w:qFormat/>
    <w:rPr>
      <w:lang w:val="ru-RU"/>
    </w:rPr>
  </w:style>
  <w:style w:type="character" w:styleId="989" w:customStyle="1">
    <w:name w:val="!Заголовок-1 Знак"/>
    <w:link w:val="987"/>
    <w:rPr>
      <w:rFonts w:ascii="Arial" w:hAnsi="Arial" w:eastAsia="Times New Roman" w:cs="Times New Roman"/>
      <w:b/>
      <w:bCs/>
      <w:caps/>
      <w:color w:val="2c8de6"/>
      <w:sz w:val="36"/>
      <w:szCs w:val="24"/>
    </w:rPr>
  </w:style>
  <w:style w:type="paragraph" w:styleId="990" w:customStyle="1">
    <w:name w:val="!Текст"/>
    <w:basedOn w:val="766"/>
    <w:link w:val="993"/>
    <w:qFormat/>
    <w:pPr>
      <w:jc w:val="both"/>
      <w:spacing w:after="0" w:line="360" w:lineRule="auto"/>
    </w:pPr>
    <w:rPr>
      <w:rFonts w:ascii="Times New Roman" w:hAnsi="Times New Roman" w:eastAsia="Times New Roman" w:cs="Times New Roman"/>
      <w:szCs w:val="20"/>
    </w:rPr>
  </w:style>
  <w:style w:type="character" w:styleId="991" w:customStyle="1">
    <w:name w:val="!заголовок-2 Знак"/>
    <w:link w:val="988"/>
    <w:rPr>
      <w:rFonts w:ascii="Arial" w:hAnsi="Arial" w:eastAsia="Times New Roman" w:cs="Times New Roman"/>
      <w:b/>
      <w:sz w:val="28"/>
      <w:szCs w:val="24"/>
    </w:rPr>
  </w:style>
  <w:style w:type="paragraph" w:styleId="992" w:customStyle="1">
    <w:name w:val="!Синий заголовок текста"/>
    <w:basedOn w:val="982"/>
    <w:link w:val="996"/>
    <w:qFormat/>
  </w:style>
  <w:style w:type="character" w:styleId="993" w:customStyle="1">
    <w:name w:val="!Текст Знак"/>
    <w:link w:val="990"/>
    <w:rPr>
      <w:rFonts w:ascii="Times New Roman" w:hAnsi="Times New Roman" w:eastAsia="Times New Roman" w:cs="Times New Roman"/>
      <w:szCs w:val="20"/>
      <w:lang w:eastAsia="ru-RU"/>
    </w:rPr>
  </w:style>
  <w:style w:type="paragraph" w:styleId="994" w:customStyle="1">
    <w:name w:val="!Список с точками"/>
    <w:basedOn w:val="766"/>
    <w:link w:val="998"/>
    <w:qFormat/>
    <w:pPr>
      <w:numPr>
        <w:numId w:val="2"/>
      </w:numPr>
      <w:jc w:val="both"/>
      <w:spacing w:after="0" w:line="360" w:lineRule="auto"/>
    </w:pPr>
    <w:rPr>
      <w:rFonts w:ascii="Times New Roman" w:hAnsi="Times New Roman" w:eastAsia="Times New Roman" w:cs="Times New Roman"/>
      <w:szCs w:val="20"/>
    </w:rPr>
  </w:style>
  <w:style w:type="character" w:styleId="995" w:customStyle="1">
    <w:name w:val="выделение цвет Знак"/>
    <w:link w:val="982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character" w:styleId="996" w:customStyle="1">
    <w:name w:val="!Синий заголовок текста Знак"/>
    <w:link w:val="992"/>
    <w:rPr>
      <w:rFonts w:ascii="Times New Roman" w:hAnsi="Times New Roman" w:eastAsia="Times New Roman" w:cs="Times New Roman"/>
      <w:b/>
      <w:color w:val="2c8de6"/>
      <w:szCs w:val="20"/>
      <w:u w:val="single"/>
      <w:lang w:eastAsia="ru-RU"/>
    </w:rPr>
  </w:style>
  <w:style w:type="paragraph" w:styleId="997">
    <w:name w:val="List Paragraph"/>
    <w:basedOn w:val="766"/>
    <w:link w:val="1011"/>
    <w:qFormat/>
    <w:pPr>
      <w:contextualSpacing/>
      <w:ind w:left="720"/>
      <w:spacing w:after="200" w:line="276" w:lineRule="auto"/>
    </w:pPr>
    <w:rPr>
      <w:rFonts w:cs="Times New Roman"/>
    </w:rPr>
  </w:style>
  <w:style w:type="character" w:styleId="998" w:customStyle="1">
    <w:name w:val="!Список с точками Знак"/>
    <w:link w:val="994"/>
    <w:rPr>
      <w:rFonts w:ascii="Times New Roman" w:hAnsi="Times New Roman" w:eastAsia="Times New Roman" w:cs="Times New Roman"/>
      <w:szCs w:val="20"/>
      <w:lang w:eastAsia="ru-RU"/>
    </w:rPr>
  </w:style>
  <w:style w:type="paragraph" w:styleId="999" w:customStyle="1">
    <w:name w:val="Базовый"/>
    <w:pPr>
      <w:spacing w:after="200" w:line="276" w:lineRule="auto"/>
    </w:pPr>
    <w:rPr>
      <w:rFonts w:ascii="Times New Roman" w:hAnsi="Times New Roman" w:eastAsia="DejaVu Sans" w:cs="Times New Roman"/>
      <w:sz w:val="24"/>
      <w:szCs w:val="24"/>
    </w:rPr>
  </w:style>
  <w:style w:type="character" w:styleId="1000" w:customStyle="1">
    <w:name w:val="Интернет-ссылка"/>
    <w:rPr>
      <w:color w:val="0000ff"/>
      <w:u w:val="single"/>
      <w:lang w:val="ru-RU" w:eastAsia="ru-RU" w:bidi="ru-RU"/>
    </w:rPr>
  </w:style>
  <w:style w:type="character" w:styleId="1001">
    <w:name w:val="annotation reference"/>
    <w:basedOn w:val="776"/>
    <w:semiHidden/>
    <w:unhideWhenUsed/>
    <w:rPr>
      <w:sz w:val="16"/>
      <w:szCs w:val="16"/>
    </w:rPr>
  </w:style>
  <w:style w:type="paragraph" w:styleId="1002">
    <w:name w:val="annotation text"/>
    <w:basedOn w:val="766"/>
    <w:link w:val="1003"/>
    <w:semiHidden/>
    <w:unhideWhenUsed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character" w:styleId="1003" w:customStyle="1">
    <w:name w:val="Текст примечания Знак"/>
    <w:basedOn w:val="776"/>
    <w:link w:val="1002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004">
    <w:name w:val="annotation subject"/>
    <w:basedOn w:val="1002"/>
    <w:next w:val="1002"/>
    <w:link w:val="1005"/>
    <w:semiHidden/>
    <w:unhideWhenUsed/>
    <w:rPr>
      <w:b/>
      <w:bCs/>
    </w:rPr>
  </w:style>
  <w:style w:type="character" w:styleId="1005" w:customStyle="1">
    <w:name w:val="Тема примечания Знак"/>
    <w:basedOn w:val="1003"/>
    <w:link w:val="1004"/>
    <w:semiHidden/>
    <w:rPr>
      <w:rFonts w:ascii="Times New Roman" w:hAnsi="Times New Roman" w:eastAsia="Times New Roman" w:cs="Times New Roman"/>
      <w:b/>
      <w:bCs/>
      <w:sz w:val="20"/>
      <w:szCs w:val="20"/>
      <w:lang w:eastAsia="ru-RU"/>
    </w:rPr>
  </w:style>
  <w:style w:type="paragraph" w:styleId="1006" w:customStyle="1">
    <w:name w:val="Lista Black"/>
    <w:basedOn w:val="967"/>
    <w:uiPriority w:val="1"/>
    <w:qFormat/>
    <w:pPr>
      <w:numPr>
        <w:numId w:val="4"/>
      </w:numPr>
      <w:jc w:val="left"/>
      <w:keepNext/>
      <w:spacing w:after="120" w:line="240" w:lineRule="auto"/>
    </w:pPr>
    <w:rPr>
      <w:rFonts w:ascii="Calibri" w:hAnsi="Calibri" w:eastAsia="FrutigerLTStd-Light" w:cstheme="minorBidi"/>
      <w:sz w:val="20"/>
      <w:lang w:val="en-US"/>
    </w:rPr>
  </w:style>
  <w:style w:type="character" w:styleId="1007" w:customStyle="1">
    <w:name w:val="Основной текст (14)_"/>
    <w:basedOn w:val="776"/>
    <w:link w:val="1008"/>
    <w:rPr>
      <w:rFonts w:ascii="Segoe UI" w:hAnsi="Segoe UI" w:eastAsia="Segoe UI" w:cs="Segoe UI"/>
      <w:sz w:val="19"/>
      <w:szCs w:val="19"/>
      <w:shd w:val="clear" w:color="auto" w:fill="ffffff"/>
    </w:rPr>
  </w:style>
  <w:style w:type="paragraph" w:styleId="1008" w:customStyle="1">
    <w:name w:val="Основной текст (14)_3"/>
    <w:basedOn w:val="766"/>
    <w:link w:val="1007"/>
    <w:pPr>
      <w:ind w:hanging="600"/>
      <w:spacing w:after="0" w:line="264" w:lineRule="exact"/>
      <w:shd w:val="clear" w:color="auto" w:fill="ffffff"/>
      <w:widowControl w:val="off"/>
    </w:pPr>
    <w:rPr>
      <w:rFonts w:ascii="Segoe UI" w:hAnsi="Segoe UI" w:eastAsia="Segoe UI" w:cs="Segoe UI"/>
      <w:sz w:val="19"/>
      <w:szCs w:val="19"/>
    </w:rPr>
  </w:style>
  <w:style w:type="character" w:styleId="1009" w:customStyle="1">
    <w:name w:val="Неразрешенное упоминание1"/>
    <w:basedOn w:val="776"/>
    <w:uiPriority w:val="99"/>
    <w:semiHidden/>
    <w:unhideWhenUsed/>
    <w:rPr>
      <w:color w:val="605e5c"/>
      <w:shd w:val="clear" w:color="auto" w:fill="e1dfdd"/>
    </w:rPr>
  </w:style>
  <w:style w:type="character" w:styleId="1010" w:customStyle="1">
    <w:name w:val="Неразрешенное упоминание2"/>
    <w:basedOn w:val="776"/>
    <w:uiPriority w:val="99"/>
    <w:semiHidden/>
    <w:unhideWhenUsed/>
    <w:rPr>
      <w:color w:val="605e5c"/>
      <w:shd w:val="clear" w:color="auto" w:fill="e1dfdd"/>
    </w:rPr>
  </w:style>
  <w:style w:type="character" w:styleId="1011" w:customStyle="1">
    <w:name w:val="Абзац списка Знак"/>
    <w:basedOn w:val="776"/>
    <w:link w:val="997"/>
    <w:rPr>
      <w:rFonts w:ascii="Calibri" w:hAnsi="Calibri" w:eastAsia="Calibri" w:cs="Times New Roman"/>
    </w:rPr>
  </w:style>
  <w:style w:type="table" w:styleId="1012" w:customStyle="1">
    <w:name w:val="Сетка таблицы1"/>
    <w:pPr>
      <w:spacing w:after="0" w:line="240" w:lineRule="auto"/>
    </w:pPr>
    <w:rPr>
      <w:rFonts w:eastAsia="Times New Roman" w:cs="Times New Roman"/>
      <w:color w:val="000000"/>
      <w:szCs w:val="20"/>
    </w:rPr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1013">
    <w:name w:val="Subtitle"/>
    <w:basedOn w:val="766"/>
    <w:next w:val="766"/>
    <w:link w:val="794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1014" w:customStyle="1">
    <w:name w:val="StGen0"/>
    <w:basedOn w:val="93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015" w:customStyle="1">
    <w:name w:val="StGen1"/>
    <w:basedOn w:val="93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1016" w:customStyle="1">
    <w:name w:val="StGen2"/>
    <w:basedOn w:val="93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017" w:customStyle="1">
    <w:name w:val="StGen3"/>
    <w:basedOn w:val="93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018" w:customStyle="1">
    <w:name w:val="StGen4"/>
    <w:basedOn w:val="93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019" w:customStyle="1">
    <w:name w:val="StGen5"/>
    <w:basedOn w:val="938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top w:w="85" w:type="dxa"/>
        <w:right w:w="81" w:type="dxa"/>
      </w:tblCellMar>
    </w:tblPr>
  </w:style>
  <w:style w:type="table" w:styleId="1020" w:customStyle="1">
    <w:name w:val="StGen6"/>
    <w:basedOn w:val="938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58" w:type="dxa"/>
        <w:top w:w="59" w:type="dxa"/>
      </w:tblCellMar>
    </w:tblPr>
  </w:style>
  <w:style w:type="table" w:styleId="1021" w:customStyle="1">
    <w:name w:val="StGen7"/>
    <w:basedOn w:val="938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1022" w:customStyle="1">
    <w:name w:val="StGen8"/>
    <w:basedOn w:val="938"/>
    <w:tblPr>
      <w:tblStyleRowBandSize w:val="1"/>
      <w:tblStyleColBandSize w:val="1"/>
      <w:tblCellMar>
        <w:left w:w="115" w:type="dxa"/>
        <w:top w:w="144" w:type="dxa"/>
        <w:right w:w="115" w:type="dxa"/>
        <w:bottom w:w="144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customXml" Target="../customXml/item1.xml" /><Relationship Id="rId12" Type="http://schemas.openxmlformats.org/officeDocument/2006/relationships/hyperlink" Target="https://disk.yandex.ru/i/VkK5WzYbUs3JNg" TargetMode="External"/><Relationship Id="rId13" Type="http://schemas.openxmlformats.org/officeDocument/2006/relationships/hyperlink" Target="https://disk.yandex.ru/i/slw3JX8ZI-Mt6Q" TargetMode="External"/><Relationship Id="rId14" Type="http://schemas.openxmlformats.org/officeDocument/2006/relationships/image" Target="media/image1.png"/><Relationship Id="rId15" Type="http://schemas.openxmlformats.org/officeDocument/2006/relationships/hyperlink" Target="http://orbicraft.sputnix.ru/doku.php" TargetMode="External"/><Relationship Id="rId16" Type="http://schemas.openxmlformats.org/officeDocument/2006/relationships/hyperlink" Target="http://orbicraft.sputnix.ru/doku.php" TargetMode="External"/><Relationship Id="rId17" Type="http://schemas.openxmlformats.org/officeDocument/2006/relationships/hyperlink" Target="http://sputnix.ru/" TargetMode="External"/><Relationship Id="rId18" Type="http://schemas.openxmlformats.org/officeDocument/2006/relationships/image" Target="media/image2.jpg"/><Relationship Id="rId19" Type="http://schemas.openxmlformats.org/officeDocument/2006/relationships/image" Target="media/image3.jp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jpg"/><Relationship Id="rId28" Type="http://schemas.openxmlformats.org/officeDocument/2006/relationships/image" Target="media/image12.png"/><Relationship Id="rId29" Type="http://schemas.openxmlformats.org/officeDocument/2006/relationships/image" Target="media/image13.jp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/lc1Hbz5d1W9fqU3fqTXdKCcUjQ==">AMUW2mU7BfrQGgSg+RzRFAbEHXvepqQS7OlwnqpoO+ouAM2arHRR5TSofPvZKTA1yROIc+/zN9LaM4tpbPjofZZKGPDmcMqRarvndgRe4Zrbt0U5COwE0LzhpT7TByB1dk0LDzgtOWtkGOBGorblUifTWIOMX9ilGgA99B5wKKNwKTv+IWDixrCSX4661hpG+SMbiTVlqIHPwCRZpdzrVBZ8lwypQ+hy8tw5NqBjSQnu1m9RceeOJyfyGegWhVq58OS3NAw7ShIl9fFiW+XgYeEKMiwyAlis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Company>Krokoz™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грузов);Макаров АА</dc:creator>
  <cp:lastModifiedBy>Артур Ялаев</cp:lastModifiedBy>
  <cp:revision>13</cp:revision>
  <dcterms:created xsi:type="dcterms:W3CDTF">2023-01-12T10:59:00Z</dcterms:created>
  <dcterms:modified xsi:type="dcterms:W3CDTF">2023-02-15T06:38:11Z</dcterms:modified>
</cp:coreProperties>
</file>