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КОМПЕТЕНЦИИ</w:t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«ОБСЛУЖИВАНИЕ ТЯЖЁЛОЙ ТЕХНИКИ»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lang w:bidi="en-US"/>
        </w:rPr>
        <w:br w:type="page" w:clear="all"/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09"/>
        <w:ind w:firstLine="709"/>
        <w:jc w:val="both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763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sdt>
      <w:sdtPr>
        <w15:appearance w15:val="boundingBox"/>
        <w:id w:val="2110548400"/>
        <w:docPartObj>
          <w:docPartGallery w:val="Table of Contents"/>
          <w:docPartUnique w:val="true"/>
        </w:docPartObj>
        <w:rPr>
          <w:rFonts w:ascii="Times New Roman" w:hAnsi="Times New Roman" w:eastAsiaTheme="minorHAnsi" w:cstheme="minorBidi"/>
          <w:color w:val="auto"/>
          <w:sz w:val="22"/>
          <w:szCs w:val="22"/>
          <w:lang w:eastAsia="en-US"/>
        </w:rPr>
      </w:sdtPr>
      <w:sdtContent>
        <w:p>
          <w:pPr>
            <w:pStyle w:val="785"/>
            <w:rPr>
              <w:rFonts w:ascii="Times New Roman" w:hAnsi="Times New Roman"/>
              <w:color w:val="auto"/>
            </w:rPr>
          </w:pPr>
          <w:r>
            <w:rPr>
              <w:rFonts w:ascii="Times New Roman" w:hAnsi="Times New Roman"/>
              <w:color w:val="auto"/>
            </w:rPr>
            <w:t xml:space="preserve">Оглавление</w:t>
          </w:r>
          <w:r/>
        </w:p>
        <w:p>
          <w:pPr>
            <w:pStyle w:val="761"/>
            <w:spacing w:line="276" w:lineRule="auto"/>
            <w:rPr>
              <w:rFonts w:ascii="Times New Roman" w:hAnsi="Times New Roman" w:eastAsiaTheme="minorEastAsia"/>
              <w:sz w:val="22"/>
              <w:szCs w:val="22"/>
              <w:lang w:val="ru-RU" w:eastAsia="ru-RU"/>
            </w:rPr>
          </w:pP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TOC \o "1-3" \h \z \u </w:instrText>
          </w:r>
          <w:r>
            <w:rPr>
              <w:rFonts w:ascii="Times New Roman" w:hAnsi="Times New Roman"/>
            </w:rPr>
            <w:fldChar w:fldCharType="separate"/>
          </w:r>
          <w:hyperlink w:tooltip="#_Toc126688310" w:anchor="_Toc126688310" w:history="1">
            <w:r>
              <w:rPr>
                <w:rStyle w:val="759"/>
                <w:rFonts w:ascii="Times New Roman" w:hAnsi="Times New Roman"/>
              </w:rPr>
              <w:t xml:space="preserve">1. ОСНОВНЫЕ ТРЕБОВАНИЯ КОМПЕТЕНЦИИ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PAGEREF _Toc126688310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fldChar w:fldCharType="end"/>
            </w:r>
          </w:hyperlink>
          <w:r/>
          <w:r/>
        </w:p>
        <w:p>
          <w:pPr>
            <w:pStyle w:val="786"/>
            <w:spacing w:line="276" w:lineRule="auto"/>
            <w:rPr>
              <w:rFonts w:eastAsiaTheme="minorEastAsia"/>
              <w:szCs w:val="22"/>
            </w:rPr>
          </w:pPr>
          <w:r/>
          <w:hyperlink w:tooltip="#_Toc126688311" w:anchor="_Toc126688311" w:history="1">
            <w:r>
              <w:rPr>
                <w:rStyle w:val="759"/>
              </w:rPr>
              <w:t xml:space="preserve">1.1. ОБЩИЕ СВЕДЕНИЯ О ТРЕБОВАНИЯХ КОМПЕТЕНЦИИ</w:t>
            </w:r>
            <w:r>
              <w:tab/>
            </w:r>
            <w:r>
              <w:fldChar w:fldCharType="begin"/>
            </w:r>
            <w:r>
              <w:instrText xml:space="preserve"> PAGEREF _Toc126688311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786"/>
            <w:spacing w:line="276" w:lineRule="auto"/>
            <w:rPr>
              <w:rFonts w:eastAsiaTheme="minorEastAsia"/>
              <w:szCs w:val="22"/>
            </w:rPr>
          </w:pPr>
          <w:r/>
          <w:hyperlink w:tooltip="#_Toc126688312" w:anchor="_Toc126688312" w:history="1">
            <w:r>
              <w:rPr>
                <w:rStyle w:val="759"/>
              </w:rPr>
              <w:t xml:space="preserve">1.2. ПЕРЕЧЕНЬ ПРОФЕССИОНАЛЬНЫХ ЗАДАЧ СПЕЦИАЛИСТА ПО КОМПЕТЕНЦИИ «ОБСЛУЖИВАНИЕ ТЯЖЁЛОЙ ТЕХНИКИ»</w:t>
            </w:r>
            <w:r>
              <w:tab/>
            </w:r>
            <w:r>
              <w:fldChar w:fldCharType="begin"/>
            </w:r>
            <w:r>
              <w:instrText xml:space="preserve"> PAGEREF _Toc126688312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786"/>
            <w:spacing w:line="276" w:lineRule="auto"/>
            <w:rPr>
              <w:rFonts w:eastAsiaTheme="minorEastAsia"/>
              <w:szCs w:val="22"/>
            </w:rPr>
          </w:pPr>
          <w:r/>
          <w:hyperlink w:tooltip="#_Toc126688313" w:anchor="_Toc126688313" w:history="1">
            <w:r>
              <w:rPr>
                <w:rStyle w:val="759"/>
              </w:rPr>
              <w:t xml:space="preserve">1.3. ТРЕБОВАНИЯ К СХЕМЕ ОЦЕНКИ</w:t>
            </w:r>
            <w:r>
              <w:tab/>
            </w:r>
            <w:r>
              <w:fldChar w:fldCharType="begin"/>
            </w:r>
            <w:r>
              <w:instrText xml:space="preserve"> PAGEREF _Toc126688313 \h </w:instrText>
            </w:r>
            <w:r/>
            <w:r>
              <w:fldChar w:fldCharType="separate"/>
            </w:r>
            <w:r>
              <w:t xml:space="preserve">8</w:t>
            </w:r>
            <w:r>
              <w:fldChar w:fldCharType="end"/>
            </w:r>
          </w:hyperlink>
          <w:r/>
          <w:r/>
        </w:p>
        <w:p>
          <w:pPr>
            <w:pStyle w:val="786"/>
            <w:spacing w:line="276" w:lineRule="auto"/>
            <w:rPr>
              <w:rFonts w:eastAsiaTheme="minorEastAsia"/>
              <w:szCs w:val="22"/>
            </w:rPr>
          </w:pPr>
          <w:r/>
          <w:hyperlink w:tooltip="#_Toc126688314" w:anchor="_Toc126688314" w:history="1">
            <w:r>
              <w:rPr>
                <w:rStyle w:val="759"/>
              </w:rPr>
              <w:t xml:space="preserve">1.4. СПЕЦИФИКАЦИЯ ОЦЕНКИ КОМПЕТЕНЦИИ</w:t>
            </w:r>
            <w:r>
              <w:tab/>
            </w:r>
            <w:r>
              <w:fldChar w:fldCharType="begin"/>
            </w:r>
            <w:r>
              <w:instrText xml:space="preserve"> PAGEREF _Toc126688314 \h </w:instrText>
            </w:r>
            <w:r/>
            <w:r>
              <w:fldChar w:fldCharType="separate"/>
            </w:r>
            <w:r>
              <w:t xml:space="preserve">8</w:t>
            </w:r>
            <w:r>
              <w:fldChar w:fldCharType="end"/>
            </w:r>
          </w:hyperlink>
          <w:r/>
          <w:r/>
        </w:p>
        <w:p>
          <w:pPr>
            <w:pStyle w:val="786"/>
            <w:spacing w:line="276" w:lineRule="auto"/>
            <w:rPr>
              <w:rFonts w:eastAsiaTheme="minorEastAsia"/>
              <w:szCs w:val="22"/>
            </w:rPr>
          </w:pPr>
          <w:r/>
          <w:hyperlink w:tooltip="#_Toc126688315" w:anchor="_Toc126688315" w:history="1">
            <w:r>
              <w:rPr>
                <w:rStyle w:val="759"/>
              </w:rPr>
              <w:t xml:space="preserve">1.5. КОНКУРСНОЕ ЗАДАНИЕ</w:t>
            </w:r>
            <w:r>
              <w:tab/>
            </w:r>
            <w:r>
              <w:fldChar w:fldCharType="begin"/>
            </w:r>
            <w:r>
              <w:instrText xml:space="preserve"> PAGEREF _Toc126688315 \h </w:instrText>
            </w:r>
            <w:r/>
            <w:r>
              <w:fldChar w:fldCharType="separate"/>
            </w:r>
            <w:r>
              <w:t xml:space="preserve">12</w:t>
            </w:r>
            <w:r>
              <w:fldChar w:fldCharType="end"/>
            </w:r>
          </w:hyperlink>
          <w:r/>
          <w:r/>
        </w:p>
        <w:p>
          <w:pPr>
            <w:pStyle w:val="787"/>
            <w:tabs>
              <w:tab w:val="right" w:pos="9629" w:leader="dot"/>
            </w:tabs>
            <w:rPr>
              <w:rFonts w:ascii="Times New Roman" w:hAnsi="Times New Roman" w:eastAsiaTheme="minorEastAsia"/>
            </w:rPr>
          </w:pPr>
          <w:r/>
          <w:hyperlink w:tooltip="#_Toc126688316" w:anchor="_Toc126688316" w:history="1">
            <w:r>
              <w:rPr>
                <w:rStyle w:val="759"/>
                <w:rFonts w:ascii="Times New Roman" w:hAnsi="Times New Roman"/>
              </w:rPr>
              <w:t xml:space="preserve">1.5.1. Разработка/выбор конкурсного задания (ссылка на Яндекс Диск с матрицей, заполненной в </w:t>
            </w:r>
            <w:r>
              <w:rPr>
                <w:rStyle w:val="759"/>
                <w:rFonts w:ascii="Times New Roman" w:hAnsi="Times New Roman"/>
                <w:lang w:val="en-US"/>
              </w:rPr>
              <w:t xml:space="preserve">Excel</w:t>
            </w:r>
            <w:r>
              <w:rPr>
                <w:rStyle w:val="759"/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PAGEREF _Toc126688316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  <w:fldChar w:fldCharType="end"/>
            </w:r>
          </w:hyperlink>
          <w:r/>
          <w:r/>
        </w:p>
        <w:p>
          <w:pPr>
            <w:pStyle w:val="787"/>
            <w:tabs>
              <w:tab w:val="right" w:pos="9629" w:leader="dot"/>
            </w:tabs>
            <w:rPr>
              <w:rFonts w:ascii="Times New Roman" w:hAnsi="Times New Roman" w:eastAsiaTheme="minorEastAsia"/>
            </w:rPr>
          </w:pPr>
          <w:r/>
          <w:hyperlink w:tooltip="#_Toc126688317" w:anchor="_Toc126688317" w:history="1">
            <w:r>
              <w:rPr>
                <w:rStyle w:val="759"/>
                <w:rFonts w:ascii="Times New Roman" w:hAnsi="Times New Roman"/>
              </w:rPr>
              <w:t xml:space="preserve">1.5.2. Структура модулей конкурсного задания (инвариант)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PAGEREF _Toc126688317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  <w:fldChar w:fldCharType="end"/>
            </w:r>
          </w:hyperlink>
          <w:r/>
          <w:r/>
        </w:p>
        <w:p>
          <w:pPr>
            <w:pStyle w:val="761"/>
            <w:spacing w:line="276" w:lineRule="auto"/>
            <w:rPr>
              <w:rFonts w:ascii="Times New Roman" w:hAnsi="Times New Roman" w:eastAsiaTheme="minorEastAsia"/>
              <w:sz w:val="22"/>
              <w:szCs w:val="22"/>
              <w:lang w:val="ru-RU" w:eastAsia="ru-RU"/>
            </w:rPr>
          </w:pPr>
          <w:r/>
          <w:hyperlink w:tooltip="#_Toc126688318" w:anchor="_Toc126688318" w:history="1">
            <w:r>
              <w:rPr>
                <w:rStyle w:val="759"/>
                <w:rFonts w:ascii="Times New Roman" w:hAnsi="Times New Roman"/>
              </w:rPr>
              <w:t xml:space="preserve">2. СПЕЦИАЛЬНЫЕ ПРАВИЛА КОМПЕТЕНЦИИ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PAGEREF _Toc126688318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  <w:fldChar w:fldCharType="end"/>
            </w:r>
          </w:hyperlink>
          <w:r/>
          <w:r/>
        </w:p>
        <w:p>
          <w:pPr>
            <w:pStyle w:val="786"/>
            <w:spacing w:line="276" w:lineRule="auto"/>
            <w:rPr>
              <w:rFonts w:eastAsiaTheme="minorEastAsia"/>
              <w:szCs w:val="22"/>
            </w:rPr>
          </w:pPr>
          <w:r/>
          <w:hyperlink w:tooltip="#_Toc126688319" w:anchor="_Toc126688319" w:history="1">
            <w:r>
              <w:rPr>
                <w:rStyle w:val="759"/>
              </w:rPr>
              <w:t xml:space="preserve">2.1 ИНСТРУКЦИИ, НЕПОСРЕДСТВЕННО ПРИМЕНЯЕМЫЕ К СОРЕВНОВАНИЯМ</w:t>
            </w:r>
            <w:r>
              <w:tab/>
            </w:r>
            <w:r>
              <w:fldChar w:fldCharType="begin"/>
            </w:r>
            <w:r>
              <w:instrText xml:space="preserve"> PAGEREF _Toc126688319 \h </w:instrText>
            </w:r>
            <w:r/>
            <w:r>
              <w:fldChar w:fldCharType="separate"/>
            </w:r>
            <w:r>
              <w:t xml:space="preserve">17</w:t>
            </w:r>
            <w:r>
              <w:fldChar w:fldCharType="end"/>
            </w:r>
          </w:hyperlink>
          <w:r/>
          <w:r/>
        </w:p>
        <w:p>
          <w:pPr>
            <w:pStyle w:val="786"/>
            <w:spacing w:line="276" w:lineRule="auto"/>
            <w:rPr>
              <w:rFonts w:eastAsiaTheme="minorEastAsia"/>
              <w:szCs w:val="22"/>
            </w:rPr>
          </w:pPr>
          <w:r/>
          <w:hyperlink w:tooltip="#_Toc126688320" w:anchor="_Toc126688320" w:history="1">
            <w:r>
              <w:rPr>
                <w:rStyle w:val="759"/>
              </w:rPr>
              <w:t xml:space="preserve">2.2. Личный инструмент конкурсанта</w:t>
            </w:r>
            <w:r>
              <w:tab/>
            </w:r>
            <w:r>
              <w:fldChar w:fldCharType="begin"/>
            </w:r>
            <w:r>
              <w:instrText xml:space="preserve"> PAGEREF _Toc126688320 \h </w:instrText>
            </w:r>
            <w:r/>
            <w:r>
              <w:fldChar w:fldCharType="separate"/>
            </w:r>
            <w:r>
              <w:t xml:space="preserve">18</w:t>
            </w:r>
            <w:r>
              <w:fldChar w:fldCharType="end"/>
            </w:r>
          </w:hyperlink>
          <w:r/>
          <w:r/>
        </w:p>
        <w:p>
          <w:pPr>
            <w:pStyle w:val="786"/>
            <w:spacing w:line="276" w:lineRule="auto"/>
            <w:rPr>
              <w:rFonts w:eastAsiaTheme="minorEastAsia"/>
              <w:szCs w:val="22"/>
            </w:rPr>
          </w:pPr>
          <w:r/>
          <w:hyperlink w:tooltip="#_Toc126688321" w:anchor="_Toc126688321" w:history="1">
            <w:r>
              <w:rPr>
                <w:rStyle w:val="759"/>
              </w:rPr>
              <w:t xml:space="preserve">2.3.</w:t>
            </w:r>
            <w:r>
              <w:rPr>
                <w:rStyle w:val="759"/>
                <w:i/>
              </w:rPr>
              <w:t xml:space="preserve"> </w:t>
            </w:r>
            <w:r>
              <w:rPr>
                <w:rStyle w:val="759"/>
              </w:rPr>
              <w:t xml:space="preserve">Материалы, оборудование и инструменты, запрещенные на площадке</w:t>
            </w:r>
            <w:r>
              <w:tab/>
            </w:r>
            <w:r>
              <w:fldChar w:fldCharType="begin"/>
            </w:r>
            <w:r>
              <w:instrText xml:space="preserve"> PAGEREF _Toc126688321 \h </w:instrText>
            </w:r>
            <w:r/>
            <w:r>
              <w:fldChar w:fldCharType="separate"/>
            </w:r>
            <w:r>
              <w:t xml:space="preserve">19</w:t>
            </w:r>
            <w:r>
              <w:fldChar w:fldCharType="end"/>
            </w:r>
          </w:hyperlink>
          <w:r/>
          <w:r/>
        </w:p>
        <w:p>
          <w:pPr>
            <w:pStyle w:val="761"/>
            <w:spacing w:line="276" w:lineRule="auto"/>
            <w:rPr>
              <w:rFonts w:ascii="Times New Roman" w:hAnsi="Times New Roman" w:eastAsiaTheme="minorEastAsia"/>
              <w:sz w:val="22"/>
              <w:szCs w:val="22"/>
              <w:lang w:val="ru-RU" w:eastAsia="ru-RU"/>
            </w:rPr>
          </w:pPr>
          <w:r/>
          <w:hyperlink w:tooltip="#_Toc126688322" w:anchor="_Toc126688322" w:history="1">
            <w:r>
              <w:rPr>
                <w:rStyle w:val="759"/>
                <w:rFonts w:ascii="Times New Roman" w:hAnsi="Times New Roman"/>
              </w:rPr>
              <w:t xml:space="preserve">3. Приложения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PAGEREF _Toc126688322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  <w:fldChar w:fldCharType="end"/>
            </w:r>
          </w:hyperlink>
          <w:r/>
          <w:r/>
        </w:p>
        <w:p>
          <w:pPr>
            <w:spacing w:line="276" w:lineRule="auto"/>
          </w:pPr>
          <w:r>
            <w:rPr>
              <w:rFonts w:ascii="Times New Roman" w:hAnsi="Times New Roman" w:cs="Times New Roman"/>
              <w:b/>
              <w:bCs/>
            </w:rPr>
            <w:fldChar w:fldCharType="end"/>
          </w:r>
          <w:r/>
        </w:p>
      </w:sdtContent>
    </w:sdt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pStyle w:val="763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ТК- требования компетенции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ФГОС-федеральный государственный образовательный стандарт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ПС-профессиональный стандарт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4.СПО-среднее профессиональное образование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5.ЗУН- знания, умения, навыки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ИЛ-инфраструктурный лист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критерий оценивания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9"/>
        <w:rPr>
          <w:lang w:val="ru-RU"/>
        </w:rPr>
      </w:pPr>
      <w:r/>
      <w:bookmarkStart w:id="0" w:name="_Toc126688272"/>
      <w:r/>
      <w:bookmarkStart w:id="1" w:name="_Toc126688310"/>
      <w:r>
        <w:rPr>
          <w:lang w:val="ru-RU"/>
        </w:rPr>
        <w:t xml:space="preserve">1</w:t>
      </w:r>
      <w:r>
        <w:rPr>
          <w:lang w:val="ru-RU"/>
        </w:rPr>
        <w:t xml:space="preserve">.</w:t>
      </w:r>
      <w:r>
        <w:rPr>
          <w:sz w:val="34"/>
          <w:szCs w:val="34"/>
          <w:lang w:val="ru-RU"/>
        </w:rPr>
        <w:t xml:space="preserve"> </w:t>
      </w:r>
      <w:r>
        <w:rPr>
          <w:lang w:val="ru-RU"/>
        </w:rPr>
        <w:t xml:space="preserve">ОСНОВНЫЕ ТРЕБОВАНИЯ</w:t>
      </w:r>
      <w:r>
        <w:rPr>
          <w:lang w:val="ru-RU"/>
        </w:rPr>
        <w:t xml:space="preserve"> </w:t>
      </w:r>
      <w:r>
        <w:rPr>
          <w:lang w:val="ru-RU"/>
        </w:rPr>
        <w:t xml:space="preserve">КОМПЕТЕНЦИИ</w:t>
      </w:r>
      <w:bookmarkEnd w:id="0"/>
      <w:r/>
      <w:bookmarkEnd w:id="1"/>
      <w:r/>
      <w:r/>
    </w:p>
    <w:p>
      <w:pPr>
        <w:pStyle w:val="730"/>
        <w:rPr>
          <w:lang w:val="ru-RU"/>
        </w:rPr>
      </w:pPr>
      <w:r/>
      <w:bookmarkStart w:id="2" w:name="_Toc126688273"/>
      <w:r/>
      <w:bookmarkStart w:id="3" w:name="_Toc126688311"/>
      <w:r>
        <w:rPr>
          <w:lang w:val="ru-RU"/>
        </w:rPr>
        <w:t xml:space="preserve">1</w:t>
      </w:r>
      <w:r>
        <w:rPr>
          <w:lang w:val="ru-RU"/>
        </w:rPr>
        <w:t xml:space="preserve">.1. </w:t>
      </w:r>
      <w:r>
        <w:rPr>
          <w:lang w:val="ru-RU"/>
        </w:rPr>
        <w:t xml:space="preserve">ОБЩИЕ СВЕДЕНИЯ О </w:t>
      </w:r>
      <w:r>
        <w:rPr>
          <w:lang w:val="ru-RU"/>
        </w:rPr>
        <w:t xml:space="preserve">ТРЕБОВАНИЯХ</w:t>
      </w:r>
      <w:r>
        <w:rPr>
          <w:lang w:val="ru-RU"/>
        </w:rPr>
        <w:t xml:space="preserve"> </w:t>
      </w:r>
      <w:r>
        <w:rPr>
          <w:lang w:val="ru-RU"/>
        </w:rPr>
        <w:t xml:space="preserve">КОМПЕТЕНЦИИ</w:t>
      </w:r>
      <w:bookmarkEnd w:id="2"/>
      <w:r/>
      <w:bookmarkEnd w:id="3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тяжёлой техники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730"/>
        <w:rPr>
          <w:lang w:val="ru-RU"/>
        </w:rPr>
      </w:pPr>
      <w:r/>
      <w:bookmarkStart w:id="5" w:name="_Toc78885652"/>
      <w:r/>
      <w:bookmarkStart w:id="6" w:name="_Toc126688274"/>
      <w:r/>
      <w:bookmarkStart w:id="7" w:name="_Toc126688312"/>
      <w:r>
        <w:rPr>
          <w:lang w:val="ru-RU"/>
        </w:rPr>
        <w:t xml:space="preserve">1</w:t>
      </w:r>
      <w:r>
        <w:rPr>
          <w:lang w:val="ru-RU"/>
        </w:rPr>
        <w:t xml:space="preserve">.</w:t>
      </w:r>
      <w:bookmarkEnd w:id="5"/>
      <w:r>
        <w:rPr>
          <w:lang w:val="ru-RU"/>
        </w:rPr>
        <w:t xml:space="preserve">2. ПЕРЕЧЕНЬ ПРОФЕССИОНАЛЬНЫХ</w:t>
      </w:r>
      <w:r>
        <w:rPr>
          <w:lang w:val="ru-RU"/>
        </w:rPr>
        <w:t xml:space="preserve"> </w:t>
      </w:r>
      <w:r>
        <w:rPr>
          <w:lang w:val="ru-RU"/>
        </w:rPr>
        <w:t xml:space="preserve">ЗАДАЧ СПЕЦИАЛИСТА ПО КОМПЕТЕНЦИИ «</w:t>
      </w:r>
      <w:r>
        <w:rPr>
          <w:lang w:val="ru-RU"/>
        </w:rPr>
        <w:t xml:space="preserve">ОБСЛУЖИВАНИЕ ТЯЖЁЛОЙ ТЕХНИКИ</w:t>
      </w:r>
      <w:r>
        <w:rPr>
          <w:lang w:val="ru-RU"/>
        </w:rPr>
        <w:t xml:space="preserve">»</w:t>
      </w:r>
      <w:bookmarkEnd w:id="6"/>
      <w:r/>
      <w:bookmarkEnd w:id="7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№1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898"/>
        <w:gridCol w:w="6658"/>
        <w:gridCol w:w="2299"/>
      </w:tblGrid>
      <w:tr>
        <w:trPr/>
        <w:tc>
          <w:tcPr>
            <w:shd w:val="clear" w:color="auto" w:fill="92d050"/>
            <w:tcW w:w="320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№п/п</w:t>
            </w:r>
            <w:r/>
          </w:p>
        </w:tc>
        <w:tc>
          <w:tcPr>
            <w:shd w:val="clear" w:color="auto" w:fill="92d050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1234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работы и безопасность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Меры, необходимые для сохранения здоровья и рабочего прост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ранства в безопасности. Назначение средств индивидуальной защиты, используемых техническим специалистом. Ассортимент и назначение веществ, материалов и оборудования, используемых в производстве. Безопасное и рациональное использование и хранение веществ 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материалов. Причины и предотвращение любых рисков, связанных с поставленными задачами. 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 и добросовестно выполнять нужные процедуры для защиты здоровья и обеспечения безопасности на рабочем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Используйте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необходимости. Выбирать и использовать все оборудование и материалы безопасно и в соответствии с инструкцией производителей. Утилизировать вещества и материалы без риска для окружающей среды. Предвидеть и предотвращать любые риски, связанные с заданиями.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3446" w:type="pc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Применение 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интерпретация нормативной и сопроводительной документации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color="auto" w:fill="auto"/>
            <w:tcW w:w="1234" w:type="pct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Использование и применение ря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да технической информации на бумаге и в электронном виде. Как прочесть, интерпретировать и извлечь информацию из любого формата. Как применить техническую информацию к конкретному заданию. Как корректно использовать технический язык, относящийся к заданию.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2871"/>
        </w:trPr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подходящие источники технической информации, применимые к заданию. Прочесть, интерпретировать и извлечь информацию из необходимого источника. Применить техническую информацию к заданию.</w:t>
            </w:r>
            <w:r/>
          </w:p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корректно использовать технический язык, относящийся к заданию.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Пользование инструментом и точные измерение  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Типы диагностичес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ких измерительных приборов в обеих метрических системах. Назначение и надлежащее использование диагностических измерительных приборов. Как выбирать, использовать и интерпретировать результаты диагностических измерительных приборов для осуществления точных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измерений, для того, чтобы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определить неисправности в системе.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понимание различных типов диагностических измеритель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приборов в обеих метрических системах. Продемонстрировать понимание назначения и использования диагностических измерительных приборов. Выбирать, использовать и интерпретировать результаты диагностических измерительных приборов для осуществления точных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измерений, для того, чтобы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неисправности в системе.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регламентных работ по техническому обслуживанию и ремонту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Перечен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ь неисправностей и их признаков в системах, узлах или частях тяжелой строительной техники. Перечень и применение методов диагностики и соответствующего оборудования. Как применить результаты диагностики и других вычислений для распознавания неисправностей.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Важность регулярного технического обслуживания для минимизации неисправностей в системе и ее частях.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продиагностировать неисправность в системах или частях тяжелой техники. Использовать и применять результаты надлежащих методов диагностики и диагностического оборудования. Применить результаты диагностического тестирования и любые соответствующие расчеты,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правильно идентифицировать и устранить неисправности, связанные с заданием. Правильно выполнять ремонт и техническое обслуживание с соблюдением требований технологических процессов.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 и инструменты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назначение слесарного инструмента и оборудования для ремонта и обслуживания дорожных машин и механизмов. Виды и назначение оборудования для проведения диагностики. 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Назначение и надлежащее хранение перечня приборов для технического обслуживания или ремонта любых частей и систем, связанных с тяжелой техникой.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 использовать и хранить приборы для конкретного задания. Пользоваться ручным инструментом. Пользоваться электрифицированным инструментом. Пользоваться пневматическим инструментом. Пользоваться автомобильными подъемниками, домкратами, смотровыми канавам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кантователями, оборудованием для вытяжки отработанных газов. Пользоваться контрольно-измерительными приборами и диагностическим оборудованием. Пользоваться специальными приспособлениями и оснасткой. Пользоваться персональным компьютером, принтером, МФУ.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Коммуникация и творчество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техническом обслуживании или ремонте.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Как четко и верно записать техническую информацию в письменный отчет по каждому заданию.</w:t>
            </w:r>
            <w:r>
              <w:rPr>
                <w:sz w:val="28"/>
                <w:szCs w:val="28"/>
              </w:rPr>
              <w:t xml:space="preserve"> Какое программное обеспечение использовать для работы с документацией на рабочем месте. О существовании различных версий и возможностей офисных программ для работы с текстом, таблицами.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работы в специализированном программном обеспечение, связанным с проведением диагностики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0" w:type="pct"/>
            <w:vAlign w:val="center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46" w:type="pct"/>
            <w:vAlign w:val="center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Четко и верно записать техническую информацию в письменный отчет по каждому заданию. Пользоваться каталогами запасных частей. 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ваться различными электронными базами данных. Пользоваться каталогами норм времени. Применять запасные части при ремонте и обслуживании дорожных машин. Составлять, обосновывать и предоставлять заказчику корректные предложения и решения по ремонту и замене.</w:t>
            </w:r>
            <w:r/>
          </w:p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регулировочные и ремонтные работы в системах и компонентах машин. Пользоваться специализированным программным обеспечением при работе с диагностическим оборудованием.</w:t>
            </w:r>
            <w:r/>
          </w:p>
        </w:tc>
        <w:tc>
          <w:tcPr>
            <w:shd w:val="clear" w:color="auto" w:fill="auto"/>
            <w:tcW w:w="1234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730"/>
      </w:pPr>
      <w:r/>
      <w:bookmarkStart w:id="8" w:name="_Toc78885655"/>
      <w:r/>
      <w:bookmarkStart w:id="9" w:name="_Toc126688275"/>
      <w:r/>
      <w:bookmarkStart w:id="10" w:name="_Toc126688313"/>
      <w:r>
        <w:t xml:space="preserve">1</w:t>
      </w:r>
      <w:r>
        <w:t xml:space="preserve">.</w:t>
      </w:r>
      <w:r>
        <w:t xml:space="preserve">3</w:t>
      </w:r>
      <w:r>
        <w:t xml:space="preserve">. ТРЕБОВАНИЯ К СХЕМЕ ОЦЕНКИ</w:t>
      </w:r>
      <w:bookmarkEnd w:id="8"/>
      <w:r/>
      <w:bookmarkEnd w:id="9"/>
      <w:r/>
      <w:bookmarkEnd w:id="10"/>
      <w:r/>
      <w:r/>
    </w:p>
    <w:p>
      <w:pPr>
        <w:pStyle w:val="768"/>
        <w:ind w:firstLine="709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768"/>
        <w:ind w:firstLine="709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p>
      <w:pPr>
        <w:pStyle w:val="768"/>
        <w:ind w:firstLine="709"/>
        <w:jc w:val="right"/>
        <w:widowControl/>
        <w:rPr>
          <w:rFonts w:ascii="Times New Roman" w:hAnsi="Times New Roman"/>
          <w:bCs/>
          <w:i/>
          <w:iCs/>
          <w:sz w:val="20"/>
          <w:szCs w:val="28"/>
          <w:lang w:val="ru-RU"/>
        </w:rPr>
      </w:pPr>
      <w:r>
        <w:rPr>
          <w:rFonts w:ascii="Times New Roman" w:hAnsi="Times New Roman"/>
          <w:b/>
          <w:sz w:val="22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8"/>
          <w:lang w:val="ru-RU"/>
        </w:rPr>
        <w:t xml:space="preserve">Таблица №2</w:t>
      </w:r>
      <w:r/>
    </w:p>
    <w:tbl>
      <w:tblPr>
        <w:tblStyle w:val="760"/>
        <w:tblW w:w="5000" w:type="pct"/>
        <w:jc w:val="center"/>
        <w:tblLook w:val="04A0" w:firstRow="1" w:lastRow="0" w:firstColumn="1" w:lastColumn="0" w:noHBand="0" w:noVBand="1"/>
      </w:tblPr>
      <w:tblGrid>
        <w:gridCol w:w="2551"/>
        <w:gridCol w:w="356"/>
        <w:gridCol w:w="496"/>
        <w:gridCol w:w="497"/>
        <w:gridCol w:w="497"/>
        <w:gridCol w:w="497"/>
        <w:gridCol w:w="497"/>
        <w:gridCol w:w="532"/>
        <w:gridCol w:w="568"/>
        <w:gridCol w:w="3364"/>
      </w:tblGrid>
      <w:tr>
        <w:trPr>
          <w:jc w:val="center"/>
          <w:trHeight w:val="1538"/>
        </w:trPr>
        <w:tc>
          <w:tcPr>
            <w:gridSpan w:val="9"/>
            <w:shd w:val="clear" w:color="auto" w:fill="92d050"/>
            <w:tcW w:w="3293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Критерий/Модуль</w:t>
            </w:r>
            <w:r/>
          </w:p>
        </w:tc>
        <w:tc>
          <w:tcPr>
            <w:shd w:val="clear" w:color="auto" w:fill="92d050"/>
            <w:tcW w:w="1707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баллов за раздел ТРЕБОВАНИЙ КОМПЕТЕНЦИИ</w:t>
            </w:r>
            <w:r/>
          </w:p>
        </w:tc>
      </w:tr>
      <w:tr>
        <w:trPr>
          <w:jc w:val="center"/>
          <w:trHeight w:val="467"/>
        </w:trPr>
        <w:tc>
          <w:tcPr>
            <w:shd w:val="clear" w:color="auto" w:fill="92d050"/>
            <w:tcW w:w="1294" w:type="pct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181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</w:r>
            <w:r/>
          </w:p>
        </w:tc>
        <w:tc>
          <w:tcPr>
            <w:shd w:val="clear" w:color="auto" w:fill="00b050"/>
            <w:tcW w:w="252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А</w:t>
            </w:r>
            <w:r/>
          </w:p>
        </w:tc>
        <w:tc>
          <w:tcPr>
            <w:shd w:val="clear" w:color="auto" w:fill="00b050"/>
            <w:tcW w:w="252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Б</w:t>
            </w:r>
            <w:r/>
          </w:p>
        </w:tc>
        <w:tc>
          <w:tcPr>
            <w:shd w:val="clear" w:color="auto" w:fill="00b050"/>
            <w:tcW w:w="252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В</w:t>
            </w:r>
            <w:r/>
          </w:p>
        </w:tc>
        <w:tc>
          <w:tcPr>
            <w:shd w:val="clear" w:color="auto" w:fill="00b050"/>
            <w:tcW w:w="252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Г</w:t>
            </w:r>
            <w:r/>
          </w:p>
        </w:tc>
        <w:tc>
          <w:tcPr>
            <w:shd w:val="clear" w:color="auto" w:fill="00b050"/>
            <w:tcW w:w="252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Д</w:t>
            </w:r>
            <w:r/>
          </w:p>
        </w:tc>
        <w:tc>
          <w:tcPr>
            <w:shd w:val="clear" w:color="auto" w:fill="00b050"/>
            <w:tcW w:w="270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Е</w:t>
            </w:r>
            <w:r/>
          </w:p>
        </w:tc>
        <w:tc>
          <w:tcPr>
            <w:shd w:val="clear" w:color="auto" w:fill="00b050"/>
            <w:tcW w:w="288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Ж</w:t>
            </w:r>
            <w:r/>
          </w:p>
        </w:tc>
        <w:tc>
          <w:tcPr>
            <w:shd w:val="clear" w:color="auto" w:fill="00b050"/>
            <w:tcW w:w="1707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29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00b050"/>
            <w:tcW w:w="181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288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1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29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00b050"/>
            <w:tcW w:w="181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288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1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29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00b050"/>
            <w:tcW w:w="181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3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W w:w="288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1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29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00b050"/>
            <w:tcW w:w="181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4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288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1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29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00b050"/>
            <w:tcW w:w="181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5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88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1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29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00b050"/>
            <w:tcW w:w="181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6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288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1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00b050"/>
            <w:tcW w:w="1475" w:type="pct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auto" w:fill="auto"/>
            <w:tcW w:w="252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W w:w="270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auto" w:fill="auto"/>
            <w:tcW w:w="288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W w:w="1707" w:type="pct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 xml:space="preserve">100</w:t>
            </w:r>
            <w:r>
              <w:rPr>
                <w:b/>
                <w:sz w:val="28"/>
                <w:szCs w:val="28"/>
              </w:rPr>
              <w:fldChar w:fldCharType="end"/>
            </w:r>
            <w:r/>
          </w:p>
        </w:tc>
      </w:tr>
    </w:tbl>
    <w:p>
      <w:pPr>
        <w:pStyle w:val="789"/>
        <w:ind w:firstLine="709"/>
        <w:jc w:val="both"/>
        <w:spacing w:before="0" w:after="0"/>
        <w:rPr>
          <w:sz w:val="24"/>
        </w:rPr>
        <w:outlineLvl w:val="9"/>
      </w:pPr>
      <w:r>
        <w:rPr>
          <w:sz w:val="24"/>
        </w:rPr>
      </w:r>
      <w:r/>
    </w:p>
    <w:p>
      <w:pPr>
        <w:pStyle w:val="730"/>
      </w:pPr>
      <w:r/>
      <w:bookmarkStart w:id="11" w:name="_Toc126688276"/>
      <w:r/>
      <w:bookmarkStart w:id="12" w:name="_Toc126688314"/>
      <w:r>
        <w:t xml:space="preserve">1</w:t>
      </w:r>
      <w:r>
        <w:t xml:space="preserve">.</w:t>
      </w:r>
      <w:r>
        <w:t xml:space="preserve">4</w:t>
      </w:r>
      <w:r>
        <w:t xml:space="preserve">. </w:t>
      </w:r>
      <w:r>
        <w:t xml:space="preserve">СПЕЦИФИКАЦИЯ ОЦЕНКИ КОМПЕТЕНЦИИ</w:t>
      </w:r>
      <w:bookmarkEnd w:id="11"/>
      <w:r/>
      <w:bookmarkEnd w:id="12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0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8"/>
        </w:rPr>
        <w:t xml:space="preserve">Таблица №3</w:t>
      </w:r>
      <w:r/>
    </w:p>
    <w:tbl>
      <w:tblPr>
        <w:tblStyle w:val="760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Методика проверки навыков </w:t>
            </w:r>
            <w:r>
              <w:rPr>
                <w:b/>
                <w:sz w:val="28"/>
                <w:szCs w:val="28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Системы запуска и диагностики дизельного двигателя 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и диагностика компонентов и систем управления работой дизельного двигателя;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измерения;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  <w:r/>
          </w:p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Электрические и электронные системы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и диагностика компонентов электрических и электронных систем машин и системы контроля климата;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измерения;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  <w:r/>
          </w:p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Механика и точные измерения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измерительного инструмента и материалов к работе;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Дефектовка деталей дизельного двигателя;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измерения;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состояния технических жидкостей;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  <w:r/>
          </w:p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Гидравлические системы</w:t>
            </w:r>
            <w:r/>
          </w:p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и диагностика компонентов гидравлических систем дорожных машин;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измерения;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  <w:r/>
          </w:p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Системы хода</w:t>
            </w:r>
            <w:r/>
          </w:p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Дефектовка структурных элементов трансмиссии входящих в системы хода дорожных машин;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измерения;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Предпродажная </w:t>
            </w:r>
            <w:r/>
          </w:p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диагностических работ по выявлению возможных неисправностей систем и механизмов машин;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смазочных и регулировочных работ согласно технической документации машины;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акта о выполненных работах (заказ наряд)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технической документации </w:t>
            </w:r>
            <w:r/>
          </w:p>
          <w:p>
            <w:pPr>
              <w:jc w:val="bot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ремонт машин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Дефектовка и проверка комплектности,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каталожной документацией;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ведомости некомплекта; 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</w:t>
            </w:r>
            <w:r/>
          </w:p>
          <w:p>
            <w:pPr>
              <w:pStyle w:val="812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</w:t>
            </w:r>
            <w:r>
              <w:rPr>
                <w:sz w:val="23"/>
                <w:szCs w:val="23"/>
              </w:rPr>
              <w:t xml:space="preserve"> 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0"/>
        <w:rPr>
          <w:sz w:val="24"/>
          <w:lang w:val="ru-RU"/>
        </w:rPr>
      </w:pPr>
      <w:r>
        <w:rPr>
          <w:sz w:val="24"/>
          <w:lang w:val="ru-RU"/>
        </w:rPr>
        <w:br w:type="page" w:clear="all"/>
      </w:r>
      <w:bookmarkStart w:id="13" w:name="_Toc126688277"/>
      <w:r/>
      <w:bookmarkStart w:id="14" w:name="_Toc126688315"/>
      <w:r>
        <w:rPr>
          <w:lang w:val="ru-RU"/>
        </w:rPr>
        <w:t xml:space="preserve">1.5. КОНКУРСНОЕ ЗАДАНИЕ</w:t>
      </w:r>
      <w:bookmarkEnd w:id="13"/>
      <w:r/>
      <w:bookmarkEnd w:id="14"/>
      <w:r/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</w:rPr>
        <w:t xml:space="preserve">Форма участия в конкурсе</w:t>
      </w:r>
      <w:bookmarkEnd w:id="15"/>
      <w:r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</w:rPr>
        <w:t xml:space="preserve">:</w:t>
      </w:r>
      <w:bookmarkEnd w:id="16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конкурс.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-15 часов.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Количество конкурсных дней: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3 дня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Разрабатывается непосредственно на площадке соревнования в дни подготовки с привлечением независимых экспертов от компании произво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дителя техники или экспертным сообществом текущего мероприятия по согласованию с менеджером компетенции.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требований компетенции.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  <w:r/>
    </w:p>
    <w:p>
      <w:pPr>
        <w:pStyle w:val="731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17" w:name="_Toc126688316"/>
      <w:r>
        <w:rPr>
          <w:rFonts w:ascii="Times New Roman" w:hAnsi="Times New Roman" w:cs="Times New Roman"/>
          <w:sz w:val="28"/>
          <w:szCs w:val="28"/>
          <w:lang w:val="ru-RU"/>
        </w:rPr>
        <w:t xml:space="preserve">1.5.1. Разработка/выбор конкурсного задания (ссылка на Яндекс Диск с матрицей, заполненной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Excel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</w:t>
      </w:r>
      <w:bookmarkEnd w:id="17"/>
      <w:r>
        <w:rPr>
          <w:lang w:val="ru-RU"/>
        </w:rPr>
        <w:t xml:space="preserve"> </w:t>
      </w:r>
      <w:hyperlink r:id="rId12" w:tooltip="https://disk.yandex.ru/d/eShYqjzJRls8sA" w:history="1">
        <w:r>
          <w:rPr>
            <w:rStyle w:val="759"/>
          </w:rPr>
          <w:t xml:space="preserve">https</w:t>
        </w:r>
        <w:r>
          <w:rPr>
            <w:rStyle w:val="759"/>
            <w:lang w:val="ru-RU"/>
          </w:rPr>
          <w:t xml:space="preserve">://</w:t>
        </w:r>
        <w:r>
          <w:rPr>
            <w:rStyle w:val="759"/>
          </w:rPr>
          <w:t xml:space="preserve">disk</w:t>
        </w:r>
        <w:r>
          <w:rPr>
            <w:rStyle w:val="759"/>
            <w:lang w:val="ru-RU"/>
          </w:rPr>
          <w:t xml:space="preserve">.</w:t>
        </w:r>
        <w:r>
          <w:rPr>
            <w:rStyle w:val="759"/>
          </w:rPr>
          <w:t xml:space="preserve">yandex</w:t>
        </w:r>
        <w:r>
          <w:rPr>
            <w:rStyle w:val="759"/>
            <w:lang w:val="ru-RU"/>
          </w:rPr>
          <w:t xml:space="preserve">.</w:t>
        </w:r>
        <w:r>
          <w:rPr>
            <w:rStyle w:val="759"/>
          </w:rPr>
          <w:t xml:space="preserve">ru</w:t>
        </w:r>
        <w:r>
          <w:rPr>
            <w:rStyle w:val="759"/>
            <w:lang w:val="ru-RU"/>
          </w:rPr>
          <w:t xml:space="preserve">/</w:t>
        </w:r>
        <w:r>
          <w:rPr>
            <w:rStyle w:val="759"/>
          </w:rPr>
          <w:t xml:space="preserve">d</w:t>
        </w:r>
        <w:r>
          <w:rPr>
            <w:rStyle w:val="759"/>
            <w:lang w:val="ru-RU"/>
          </w:rPr>
          <w:t xml:space="preserve">/</w:t>
        </w:r>
        <w:r>
          <w:rPr>
            <w:rStyle w:val="759"/>
          </w:rPr>
          <w:t xml:space="preserve">eShYqjzJRls</w:t>
        </w:r>
        <w:r>
          <w:rPr>
            <w:rStyle w:val="759"/>
            <w:lang w:val="ru-RU"/>
          </w:rPr>
          <w:t xml:space="preserve">8</w:t>
        </w:r>
        <w:r>
          <w:rPr>
            <w:rStyle w:val="759"/>
          </w:rPr>
          <w:t xml:space="preserve">sA</w:t>
        </w:r>
      </w:hyperlink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самостоятельных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модуль Б, модуль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модуль 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вариативную часть 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модуль Д, модуль Е, модуль Ж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ной части, выбирается регионом самостоятельно в зависимости от материальных возможностей площадки соревнований и потребностей работодателей региона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соответствующих специалистах.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случае если ни один из модулей вариативной части не подходит под запрос работодателя конкретного региона, то вариативный(е) модуль(и) формируется регионом самостоятельно под запрос работодателя.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этом, время на выполнение каждого модуля(ей) и количество баллов в критериях оценки по аспектам не меняются.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выполнения конкурсного задания (или проведения РЧ) неизменными 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вляются модули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А,Б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,В,Г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В случае если в регионе востребованы виды технического обслуживания, ремонта или работы с технической 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окументацией выбирается модуль Д, модуль Е и модуль 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В случае есл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ни один из модулей не походит под запрос работодателя конкретного региона, то в таком случае любой вариативный модуль формируется регионом самостоятельно под запрос конкретного работодателя. Количество баллов в критериях оценки и по аспектам не меняется.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ативная часть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наполнение модуля формируется регионом самостоятельно под запрос работодателя в части марок и видов транспортных средств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дорожно-строительной и ремонтной техники, включая специализированные автомобили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представленных на площадке соревнования. При этом, время на выполнение модуля и количество баллов в критериях оценки по аспектам не меняются.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Если какой-либо модуль вариативной части не выполняется, то время, отведенное на выполнение данного модуля, не перераспределяется, и участники получают за этот модуль 0 баллов.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8"/>
          <w:lang w:eastAsia="ru-RU"/>
        </w:rPr>
        <w:t xml:space="preserve">Таблица №4</w:t>
      </w:r>
      <w:r/>
    </w:p>
    <w:tbl>
      <w:tblPr>
        <w:tblStyle w:val="760"/>
        <w:tblW w:w="0" w:type="auto"/>
        <w:tblLook w:val="04A0" w:firstRow="1" w:lastRow="0" w:firstColumn="1" w:lastColumn="0" w:noHBand="0" w:noVBand="1"/>
      </w:tblPr>
      <w:tblGrid>
        <w:gridCol w:w="1707"/>
        <w:gridCol w:w="1313"/>
        <w:gridCol w:w="1933"/>
        <w:gridCol w:w="1137"/>
        <w:gridCol w:w="2567"/>
        <w:gridCol w:w="601"/>
        <w:gridCol w:w="597"/>
      </w:tblGrid>
      <w:tr>
        <w:trPr>
          <w:trHeight w:val="1125"/>
        </w:trPr>
        <w:tc>
          <w:tcPr>
            <w:shd w:val="clear" w:color="auto" w:fill="92d050"/>
            <w:tcW w:w="1707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Обобщенная трудовая функция</w:t>
            </w:r>
            <w:r/>
          </w:p>
        </w:tc>
        <w:tc>
          <w:tcPr>
            <w:shd w:val="clear" w:color="auto" w:fill="92d050"/>
            <w:tcW w:w="1313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Трудовая функция</w:t>
            </w:r>
            <w:r/>
          </w:p>
        </w:tc>
        <w:tc>
          <w:tcPr>
            <w:shd w:val="clear" w:color="auto" w:fill="92d050"/>
            <w:tcW w:w="1933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Нормативный документ/ЗУН</w:t>
            </w:r>
            <w:r/>
          </w:p>
        </w:tc>
        <w:tc>
          <w:tcPr>
            <w:shd w:val="clear" w:color="auto" w:fill="92d050"/>
            <w:tcW w:w="1137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Модуль</w:t>
            </w:r>
            <w:r/>
          </w:p>
        </w:tc>
        <w:tc>
          <w:tcPr>
            <w:shd w:val="clear" w:color="auto" w:fill="92d050"/>
            <w:tcW w:w="2567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Константа/</w:t>
            </w:r>
            <w:r>
              <w:rPr>
                <w:sz w:val="24"/>
                <w:szCs w:val="28"/>
              </w:rPr>
              <w:t xml:space="preserve">вариатив</w:t>
            </w:r>
            <w:r/>
          </w:p>
        </w:tc>
        <w:tc>
          <w:tcPr>
            <w:shd w:val="clear" w:color="auto" w:fill="92d050"/>
            <w:tcW w:w="601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ИЛ</w:t>
            </w:r>
            <w:r/>
          </w:p>
        </w:tc>
        <w:tc>
          <w:tcPr>
            <w:shd w:val="clear" w:color="auto" w:fill="92d050"/>
            <w:tcW w:w="597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</w:t>
            </w:r>
            <w:r/>
          </w:p>
        </w:tc>
      </w:tr>
      <w:tr>
        <w:trPr>
          <w:trHeight w:val="331"/>
        </w:trPr>
        <w:tc>
          <w:tcPr>
            <w:tcW w:w="170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/>
          </w:p>
        </w:tc>
        <w:tc>
          <w:tcPr>
            <w:tcW w:w="131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/>
          </w:p>
        </w:tc>
        <w:tc>
          <w:tcPr>
            <w:tcW w:w="193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/>
          </w:p>
        </w:tc>
        <w:tc>
          <w:tcPr>
            <w:tcW w:w="113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</w:t>
            </w:r>
            <w:r/>
          </w:p>
        </w:tc>
        <w:tc>
          <w:tcPr>
            <w:tcW w:w="256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</w:t>
            </w:r>
            <w:r/>
          </w:p>
        </w:tc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</w:t>
            </w:r>
            <w:r/>
          </w:p>
        </w:tc>
        <w:tc>
          <w:tcPr>
            <w:tcW w:w="59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13" w:tooltip="Приложение%20№2%20Матрица%20расчета%20конкурсного%20задания%20Обслуживание%20тяжёлой%20техники.xlsx" w:history="1">
        <w:r>
          <w:rPr>
            <w:rStyle w:val="759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(Приложение № 1)</w:t>
        </w:r>
      </w:hyperlink>
      <w:r/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731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18" w:name="_Toc126688317"/>
      <w:r>
        <w:rPr>
          <w:rFonts w:ascii="Times New Roman" w:hAnsi="Times New Roman" w:cs="Times New Roman"/>
          <w:sz w:val="28"/>
          <w:szCs w:val="28"/>
          <w:lang w:val="ru-RU"/>
        </w:rPr>
        <w:t xml:space="preserve">1.5.2. Структура модулей конкурсного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(инвариант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/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вариатив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)</w:t>
      </w:r>
      <w:bookmarkEnd w:id="18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Системы запуска и диагностики дизельного двигателя – практический.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Время выполнения </w:t>
      </w:r>
      <w:r>
        <w:rPr>
          <w:rFonts w:ascii="Times New Roman" w:hAnsi="Times New Roman"/>
          <w:sz w:val="28"/>
          <w:lang w:val="ru-RU"/>
        </w:rPr>
        <w:t xml:space="preserve">180 минут.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Конкурсанту необходимо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произвести подготовку двигателя машины и его систем к передаче клиенту согласно техническим требованиям.  Выполните необходимые работы устранению выявленных неисправностей в ходе проведения подготовки двигателя машины. Заполнение заказ-наряд и (или) </w:t>
      </w:r>
      <w:r>
        <w:rPr>
          <w:rFonts w:ascii="Times New Roman" w:hAnsi="Times New Roman"/>
          <w:sz w:val="28"/>
          <w:lang w:val="ru-RU"/>
        </w:rPr>
        <w:t xml:space="preserve">форму осмотра</w:t>
      </w:r>
      <w:r>
        <w:rPr>
          <w:rFonts w:ascii="Times New Roman" w:hAnsi="Times New Roman"/>
          <w:sz w:val="28"/>
          <w:lang w:val="ru-RU"/>
        </w:rPr>
        <w:t xml:space="preserve"> прилагаемого чек-листа по выполненным работам. С соблюдением требований по технике безопасности и особых требований на выполнение модуля.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Модуль проводиться на машине или оборудовании с возможностью запуска.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Модуль проводиться на машине с возможностью запуска или </w:t>
      </w:r>
      <w:r>
        <w:rPr>
          <w:rFonts w:ascii="Times New Roman" w:hAnsi="Times New Roman"/>
          <w:sz w:val="28"/>
          <w:lang w:val="ru-RU"/>
        </w:rPr>
        <w:t xml:space="preserve">агрегатах  входящих</w:t>
      </w:r>
      <w:r>
        <w:rPr>
          <w:rFonts w:ascii="Times New Roman" w:hAnsi="Times New Roman"/>
          <w:sz w:val="28"/>
          <w:lang w:val="ru-RU"/>
        </w:rPr>
        <w:t xml:space="preserve"> в состав систем хода машины.</w:t>
      </w:r>
      <w:r/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Электрические и электронные системы – практический.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Время выполнения 180 минут.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</w:rPr>
        <w:t xml:space="preserve">Конкурсанту необходимо </w:t>
      </w:r>
      <w:r>
        <w:rPr>
          <w:rFonts w:ascii="Times New Roman" w:hAnsi="Times New Roman" w:cs="Times New Roman"/>
          <w:sz w:val="28"/>
          <w:szCs w:val="18"/>
        </w:rPr>
        <w:t xml:space="preserve">произведите проверку работы электрических и электронных систем. Произвести подготовку машины к передаче клиенту </w:t>
      </w:r>
      <w:r>
        <w:rPr>
          <w:rFonts w:ascii="Times New Roman" w:hAnsi="Times New Roman" w:cs="Times New Roman"/>
          <w:sz w:val="28"/>
          <w:szCs w:val="18"/>
        </w:rPr>
        <w:t xml:space="preserve">согласно технических требований</w:t>
      </w:r>
      <w:r>
        <w:rPr>
          <w:rFonts w:ascii="Times New Roman" w:hAnsi="Times New Roman" w:cs="Times New Roman"/>
          <w:sz w:val="28"/>
          <w:szCs w:val="18"/>
        </w:rPr>
        <w:t xml:space="preserve">.  Определить неисправности электрических и электронных систем и устранить их. Произвести необходимые замеры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Заполнение заказ-наряд и (или) </w:t>
      </w:r>
      <w:r>
        <w:rPr>
          <w:rFonts w:ascii="Times New Roman" w:hAnsi="Times New Roman" w:cs="Times New Roman"/>
          <w:sz w:val="28"/>
          <w:szCs w:val="18"/>
        </w:rPr>
        <w:t xml:space="preserve">форму осмотра</w:t>
      </w:r>
      <w:r>
        <w:rPr>
          <w:rFonts w:ascii="Times New Roman" w:hAnsi="Times New Roman" w:cs="Times New Roman"/>
          <w:sz w:val="28"/>
          <w:szCs w:val="18"/>
        </w:rPr>
        <w:t xml:space="preserve"> прилагаемого чек-листа по выполненным работам. С соблюдением требований по технике безопасности. 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</w:rPr>
        <w:t xml:space="preserve">Модуль проводиться на машине с возможностью запуска.</w:t>
      </w:r>
      <w:r/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Механика и точные измерения – практический.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(и</w:t>
      </w:r>
      <w:r>
        <w:rPr>
          <w:rFonts w:ascii="Times New Roman" w:hAnsi="Times New Roman" w:cs="Times New Roman"/>
          <w:b/>
          <w:sz w:val="28"/>
          <w:szCs w:val="28"/>
        </w:rPr>
        <w:t xml:space="preserve">нвариант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Время выполнения 180 минут.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Конкурсанту необходимо выполнить проверку измерительного инструмента. Выполнить диагностирование деталей и необходимые </w:t>
      </w:r>
      <w:r>
        <w:rPr>
          <w:rFonts w:ascii="Times New Roman" w:hAnsi="Times New Roman" w:cs="Times New Roman"/>
          <w:sz w:val="28"/>
        </w:rPr>
        <w:t xml:space="preserve">метрологические  измерения</w:t>
      </w:r>
      <w:r>
        <w:rPr>
          <w:rFonts w:ascii="Times New Roman" w:hAnsi="Times New Roman" w:cs="Times New Roman"/>
          <w:sz w:val="28"/>
        </w:rPr>
        <w:t xml:space="preserve">, определить неисправности и пр</w:t>
      </w:r>
      <w:r>
        <w:rPr>
          <w:rFonts w:ascii="Times New Roman" w:hAnsi="Times New Roman" w:cs="Times New Roman"/>
          <w:sz w:val="28"/>
        </w:rPr>
        <w:t xml:space="preserve">овести дефектовку предложенных компонентов, а также выполнить сборку в правильной последовательности с проведением необходимых настроек и регулировок, моментов затяжки резьбовых соединений. Произвести анализ причин неисправностей двигателя/ редуктора/ гидр</w:t>
      </w:r>
      <w:r>
        <w:rPr>
          <w:rFonts w:ascii="Times New Roman" w:hAnsi="Times New Roman" w:cs="Times New Roman"/>
          <w:sz w:val="28"/>
        </w:rPr>
        <w:t xml:space="preserve">омотора/ гидронасоса. Провести </w:t>
      </w:r>
      <w:r>
        <w:rPr>
          <w:rFonts w:ascii="Times New Roman" w:hAnsi="Times New Roman" w:cs="Times New Roman"/>
          <w:sz w:val="28"/>
        </w:rPr>
        <w:t xml:space="preserve">анализ технических жидкостей (</w:t>
      </w:r>
      <w:r>
        <w:rPr>
          <w:rFonts w:ascii="Times New Roman" w:hAnsi="Times New Roman" w:cs="Times New Roman"/>
          <w:sz w:val="28"/>
        </w:rPr>
        <w:t xml:space="preserve">охлаждающей )</w:t>
      </w:r>
      <w:r>
        <w:rPr>
          <w:rFonts w:ascii="Times New Roman" w:hAnsi="Times New Roman" w:cs="Times New Roman"/>
          <w:sz w:val="28"/>
        </w:rPr>
        <w:t xml:space="preserve">. Заполнение заказ-наряд и (или) </w:t>
      </w:r>
      <w:r>
        <w:rPr>
          <w:rFonts w:ascii="Times New Roman" w:hAnsi="Times New Roman" w:cs="Times New Roman"/>
          <w:sz w:val="28"/>
        </w:rPr>
        <w:t xml:space="preserve">форму осмотра</w:t>
      </w:r>
      <w:r>
        <w:rPr>
          <w:rFonts w:ascii="Times New Roman" w:hAnsi="Times New Roman" w:cs="Times New Roman"/>
          <w:sz w:val="28"/>
        </w:rPr>
        <w:t xml:space="preserve"> прилагаемого чек-листа по выполненным работам. С соблюдением требований по технике безопасности.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Измерения проводятся на деталях машин или на частично разобранном двигателе.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необходимости можно изменить агрегат с двигателя на другой агрегат дорожно-строительных машин по согласованию с менеджером компетенции </w:t>
      </w:r>
      <w:r/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Гидравлические системы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практический.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Время выполнения 180 минут.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Конкурсанту необходимо выполнить проверку работы компонентов гидравлической системы машины при передаче клиенту </w:t>
      </w:r>
      <w:r>
        <w:rPr>
          <w:rFonts w:ascii="Times New Roman" w:hAnsi="Times New Roman" w:cs="Times New Roman"/>
          <w:sz w:val="28"/>
        </w:rPr>
        <w:t xml:space="preserve">согласно технических требований</w:t>
      </w:r>
      <w:r>
        <w:rPr>
          <w:rFonts w:ascii="Times New Roman" w:hAnsi="Times New Roman" w:cs="Times New Roman"/>
          <w:sz w:val="28"/>
        </w:rPr>
        <w:t xml:space="preserve">.  Выполните необходимые работы по чек-листу по устранению выявленных неисправностей в ходе проведения подготовки машины. Произвести необходимые настройки и регулировки. Произвести необходимые замеры. Заполнить заказ-наряд и (или) </w:t>
      </w:r>
      <w:r>
        <w:rPr>
          <w:rFonts w:ascii="Times New Roman" w:hAnsi="Times New Roman" w:cs="Times New Roman"/>
          <w:sz w:val="28"/>
        </w:rPr>
        <w:t xml:space="preserve">форму осмотра</w:t>
      </w:r>
      <w:r>
        <w:rPr>
          <w:rFonts w:ascii="Times New Roman" w:hAnsi="Times New Roman" w:cs="Times New Roman"/>
          <w:sz w:val="28"/>
        </w:rPr>
        <w:t xml:space="preserve"> прилагаемого чек-листа по выполненным работам. С соблюдением требований по технике безопасности и особых требований на выполнение модуля.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проводиться на машине с возможностью запуска.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Д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Системы хода – практический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вариатив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Время выполнения 180 минут.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Конкурсанту необхо</w:t>
      </w:r>
      <w:r>
        <w:rPr>
          <w:rFonts w:ascii="Times New Roman" w:hAnsi="Times New Roman"/>
          <w:sz w:val="28"/>
          <w:lang w:val="ru-RU"/>
        </w:rPr>
        <w:t xml:space="preserve">димо произвести проверку работы систем хода. Произвести подготовку машины к передаче клиенту согласно техническим требованиям. С проведением обмера узлов ходовой части, элементов трансмиссии и проведением регламентных работ. Заполнение заказ-наряд и (или) </w:t>
      </w:r>
      <w:r>
        <w:rPr>
          <w:rFonts w:ascii="Times New Roman" w:hAnsi="Times New Roman"/>
          <w:sz w:val="28"/>
          <w:lang w:val="ru-RU"/>
        </w:rPr>
        <w:t xml:space="preserve">форму осмотра</w:t>
      </w:r>
      <w:r>
        <w:rPr>
          <w:rFonts w:ascii="Times New Roman" w:hAnsi="Times New Roman"/>
          <w:sz w:val="28"/>
          <w:lang w:val="ru-RU"/>
        </w:rPr>
        <w:t xml:space="preserve"> прилагаемого чек-листа по выполненным работам. С соблюдением требований по технике безопасности и особых требований на выполнение модуля.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Модуль проводиться на машине с возможностью запуска или </w:t>
      </w:r>
      <w:r>
        <w:rPr>
          <w:rFonts w:ascii="Times New Roman" w:hAnsi="Times New Roman"/>
          <w:sz w:val="28"/>
          <w:lang w:val="ru-RU"/>
        </w:rPr>
        <w:t xml:space="preserve">агрегатах входящих</w:t>
      </w:r>
      <w:r>
        <w:rPr>
          <w:rFonts w:ascii="Times New Roman" w:hAnsi="Times New Roman"/>
          <w:sz w:val="28"/>
          <w:lang w:val="ru-RU"/>
        </w:rPr>
        <w:t xml:space="preserve"> в состав систем хода машины.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Предпродажная подготовка – практически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вариатив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Время выполнения 180 минут.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Кон</w:t>
      </w:r>
      <w:r>
        <w:rPr>
          <w:rFonts w:ascii="Times New Roman" w:hAnsi="Times New Roman"/>
          <w:sz w:val="28"/>
          <w:lang w:val="ru-RU"/>
        </w:rPr>
        <w:t xml:space="preserve">курсанту необходимо произвести подготовку машины к передаче клиенту согласно техническим требованиям. Провести операции сезонного обслуживания проведением проверки всех систем и механизмов машины с учетом регламентных работ. Заполнение заказ-наряд и (или) </w:t>
      </w:r>
      <w:r>
        <w:rPr>
          <w:rFonts w:ascii="Times New Roman" w:hAnsi="Times New Roman"/>
          <w:sz w:val="28"/>
          <w:lang w:val="ru-RU"/>
        </w:rPr>
        <w:t xml:space="preserve">форму осмотра</w:t>
      </w:r>
      <w:r>
        <w:rPr>
          <w:rFonts w:ascii="Times New Roman" w:hAnsi="Times New Roman"/>
          <w:sz w:val="28"/>
          <w:lang w:val="ru-RU"/>
        </w:rPr>
        <w:t xml:space="preserve"> прилагаемого чек-листа по выполненным работам. С соблюдением требований по технике безопасности и особых требований на выполнение модуля.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Модуль проводиться на машине с возможностью запуска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Ж</w:t>
      </w:r>
      <w:r>
        <w:rPr>
          <w:rFonts w:ascii="Times New Roman" w:hAnsi="Times New Roman" w:cs="Times New Roman"/>
          <w:b/>
          <w:sz w:val="28"/>
          <w:szCs w:val="28"/>
        </w:rPr>
        <w:t xml:space="preserve">.  Оформление технической документации на ремонт машин – практический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вариатив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Время выполнения 180 минут.</w:t>
      </w:r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Конкурсанту в соо</w:t>
      </w:r>
      <w:r>
        <w:rPr>
          <w:rFonts w:ascii="Times New Roman" w:hAnsi="Times New Roman"/>
          <w:sz w:val="28"/>
          <w:lang w:val="ru-RU"/>
        </w:rPr>
        <w:t xml:space="preserve">тветствии с заданием пользуясь технической документацией необходимо произвести подбор запасных частей и расходных материалов с указанием каталожных номеров, составить заявку, произвести расчет трудоемкости работ согласно требованиям, разработанным заводом </w:t>
      </w:r>
      <w:r>
        <w:rPr>
          <w:rFonts w:ascii="Times New Roman" w:hAnsi="Times New Roman"/>
          <w:sz w:val="28"/>
          <w:lang w:val="ru-RU"/>
        </w:rPr>
        <w:t xml:space="preserve">изготовителем. Все планируемые работы, и используемые запасные части участник должен записать в лист заказ – наряд, а результаты замеров и расчетов в представленную для этого ведомость. </w:t>
      </w:r>
      <w:bookmarkStart w:id="19" w:name="_Toc78885643"/>
      <w:r/>
      <w:r/>
    </w:p>
    <w:p>
      <w:pPr>
        <w:pStyle w:val="768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pStyle w:val="729"/>
        <w:rPr>
          <w:lang w:val="ru-RU"/>
        </w:rPr>
      </w:pPr>
      <w:r/>
      <w:bookmarkStart w:id="20" w:name="_Toc126688278"/>
      <w:r/>
      <w:bookmarkStart w:id="21" w:name="_Toc126688318"/>
      <w:r>
        <w:rPr>
          <w:lang w:val="ru-RU"/>
        </w:rPr>
        <w:t xml:space="preserve">2. </w:t>
      </w:r>
      <w:r>
        <w:rPr>
          <w:lang w:val="ru-RU"/>
        </w:rPr>
        <w:t xml:space="preserve">СПЕЦИАЛЬНЫЕ ПРАВИЛА КОМПЕТЕНЦИИ</w:t>
      </w:r>
      <w:bookmarkEnd w:id="19"/>
      <w:r/>
      <w:bookmarkEnd w:id="20"/>
      <w:r/>
      <w:bookmarkEnd w:id="21"/>
      <w:r/>
      <w:r/>
    </w:p>
    <w:p>
      <w:pPr>
        <w:pStyle w:val="730"/>
        <w:rPr>
          <w:lang w:val="ru-RU"/>
        </w:rPr>
      </w:pPr>
      <w:r/>
      <w:bookmarkStart w:id="22" w:name="_Toc126688279"/>
      <w:r/>
      <w:bookmarkStart w:id="23" w:name="_Toc126688319"/>
      <w:r>
        <w:rPr>
          <w:lang w:val="ru-RU"/>
        </w:rPr>
        <w:t xml:space="preserve">2.1 ИНСТРУКЦИИ, НЕПОСРЕДСТВЕННО ПРИМЕНЯЕМЫЕ К СОРЕВНОВАНИЯМ</w:t>
      </w:r>
      <w:bookmarkEnd w:id="22"/>
      <w:r/>
      <w:bookmarkEnd w:id="23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Минимальное количе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ство рабочих мест составляет – 4 согласно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инвариативной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В случаях, когда количество аккредитованных участников превышает количество рабочих мест, проводится отборочный этап. Конкурсное задание отборочного этапа определяется самостоятельно главным экспертом или экспертным сообществом региона.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Допускается уменьшение времени на выполнение модуля, в случаях, когда модуль выполняется не полностью. Увеличение времени на выполнение модуля – недопустимо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публичного освещения чемпионата рекомендуется проводить прямые видеотрансляции с площадки на любом доступном сервисе или социальной сети.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Перед началом работы все конкурсанты обязаны пройти инструктаж по технике безопасности и безопасным приемам организации труда. Также необходимо пройти инструктаж по настройке и эксплуатации технологического оборудования конкурсной площадки.</w:t>
      </w:r>
      <w:r/>
    </w:p>
    <w:p>
      <w:pPr>
        <w:pStyle w:val="798"/>
        <w:contextualSpacing w:val="0"/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</w:t>
      </w:r>
      <w:r>
        <w:rPr>
          <w:rFonts w:ascii="Times New Roman" w:hAnsi="Times New Roman"/>
          <w:sz w:val="28"/>
          <w:szCs w:val="28"/>
        </w:rPr>
        <w:t xml:space="preserve">лючая перерывы), участники имеют право общаться со своими экспертами только в присутствии эксперта, не имеющего заинтересованности в получении преимуществ данным участником перед другими участниками (эксперты других участников, либо независимые эксперты). </w:t>
      </w:r>
      <w:r/>
    </w:p>
    <w:p>
      <w:pPr>
        <w:pStyle w:val="798"/>
        <w:contextualSpacing w:val="0"/>
        <w:ind w:left="0"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Телефоны, гарнитура к ним и другие гаджеты позволяющие слушать музыку или переговариваться/переписываться использовать на площадке во </w:t>
      </w:r>
      <w:r>
        <w:rPr>
          <w:rFonts w:ascii="Times New Roman" w:hAnsi="Times New Roman"/>
          <w:sz w:val="28"/>
          <w:szCs w:val="28"/>
        </w:rPr>
        <w:t xml:space="preserve">время работы запрещается. Такие устройства подлежат сдаче главному эксперту или техническому эксперту.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</w:t>
      </w:r>
      <w:r>
        <w:rPr>
          <w:rFonts w:ascii="Times New Roman" w:hAnsi="Times New Roman" w:cs="Times New Roman"/>
          <w:sz w:val="28"/>
          <w:szCs w:val="28"/>
        </w:rPr>
        <w:t xml:space="preserve">рабатываются на основе единого к</w:t>
      </w:r>
      <w:r>
        <w:rPr>
          <w:rFonts w:ascii="Times New Roman" w:hAnsi="Times New Roman" w:cs="Times New Roman"/>
          <w:sz w:val="28"/>
          <w:szCs w:val="28"/>
        </w:rPr>
        <w:t xml:space="preserve">онк</w:t>
      </w:r>
      <w:r>
        <w:rPr>
          <w:rFonts w:ascii="Times New Roman" w:hAnsi="Times New Roman" w:cs="Times New Roman"/>
          <w:sz w:val="28"/>
          <w:szCs w:val="28"/>
        </w:rPr>
        <w:t xml:space="preserve">урсного задания, утверждённого м</w:t>
      </w:r>
      <w:r>
        <w:rPr>
          <w:rFonts w:ascii="Times New Roman" w:hAnsi="Times New Roman" w:cs="Times New Roman"/>
          <w:sz w:val="28"/>
          <w:szCs w:val="28"/>
        </w:rPr>
        <w:t xml:space="preserve">енеджером компетенции и </w:t>
      </w:r>
      <w:r>
        <w:rPr>
          <w:rFonts w:ascii="Times New Roman" w:hAnsi="Times New Roman" w:cs="Times New Roman"/>
          <w:sz w:val="28"/>
          <w:szCs w:val="28"/>
        </w:rPr>
        <w:t xml:space="preserve">экспертами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компетенции. </w:t>
      </w:r>
      <w:r>
        <w:rPr>
          <w:rFonts w:ascii="Times New Roman" w:hAnsi="Times New Roman" w:cs="Times New Roman"/>
          <w:sz w:val="28"/>
          <w:szCs w:val="28"/>
        </w:rPr>
        <w:t xml:space="preserve">Задания могут разрабатыватьс</w:t>
      </w:r>
      <w:r>
        <w:rPr>
          <w:rFonts w:ascii="Times New Roman" w:hAnsi="Times New Roman" w:cs="Times New Roman"/>
          <w:sz w:val="28"/>
          <w:szCs w:val="28"/>
        </w:rPr>
        <w:t xml:space="preserve">я как в целом, так и по модулям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2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эксперт </w:t>
      </w:r>
      <w:r>
        <w:rPr>
          <w:sz w:val="28"/>
          <w:szCs w:val="28"/>
        </w:rPr>
        <w:t xml:space="preserve">компетенции принимае</w:t>
      </w:r>
      <w:r>
        <w:rPr>
          <w:sz w:val="28"/>
          <w:szCs w:val="28"/>
        </w:rPr>
        <w:t xml:space="preserve">т 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  <w:r>
        <w:rPr>
          <w:sz w:val="28"/>
          <w:szCs w:val="28"/>
        </w:rPr>
        <w:t xml:space="preserve">И согласует с менеджером компетенции.</w:t>
      </w:r>
      <w:r/>
    </w:p>
    <w:p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Конкурсное задание может быть утверждено в любой удобной для Менеджера компетенции форме.</w:t>
      </w:r>
      <w:bookmarkStart w:id="24" w:name="_Toc124256432"/>
      <w:r/>
      <w:r/>
    </w:p>
    <w:p>
      <w:pPr>
        <w:pStyle w:val="730"/>
        <w:rPr>
          <w:lang w:val="ru-RU"/>
        </w:rPr>
      </w:pPr>
      <w:r/>
      <w:bookmarkStart w:id="25" w:name="_Toc78885659"/>
      <w:r/>
      <w:bookmarkStart w:id="26" w:name="_Toc126688280"/>
      <w:r/>
      <w:bookmarkStart w:id="27" w:name="_Toc126688320"/>
      <w:r/>
      <w:bookmarkEnd w:id="24"/>
      <w:r>
        <w:rPr>
          <w:color w:val="000000"/>
          <w:lang w:val="ru-RU"/>
        </w:rPr>
        <w:t xml:space="preserve">2</w:t>
      </w:r>
      <w:r>
        <w:rPr>
          <w:color w:val="000000"/>
          <w:lang w:val="ru-RU"/>
        </w:rPr>
        <w:t xml:space="preserve">.</w:t>
      </w:r>
      <w:r>
        <w:rPr>
          <w:color w:val="000000"/>
          <w:lang w:val="ru-RU"/>
        </w:rPr>
        <w:t xml:space="preserve">2</w:t>
      </w:r>
      <w:r>
        <w:rPr>
          <w:color w:val="000000"/>
          <w:lang w:val="ru-RU"/>
        </w:rPr>
        <w:t xml:space="preserve">. </w:t>
      </w:r>
      <w:bookmarkEnd w:id="25"/>
      <w:r>
        <w:rPr>
          <w:lang w:val="ru-RU"/>
        </w:rPr>
        <w:t xml:space="preserve">Личный инструмент конкурсанта</w:t>
      </w:r>
      <w:bookmarkEnd w:id="26"/>
      <w:r/>
      <w:bookmarkEnd w:id="27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Инструмент, оборудование и расходные материалы для участия предоставляют организаторы соревнования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согласно инфраструктурному листу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соревнования.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Нулевой - нельзя ничего привозить.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Инвентарь участника,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привезённого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собой,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распространяется только на средства индивидуальной защиты: Костюм слесаря, обувь с внутренним защитным носком (мыском), очки, перчатки, каскетка.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Рабочая одежда не должна иметь дефектов (износ, порезы, неисправные застежки/молнии/пуговицы). Одежда и обувь должна соответствовать размерной группе участника.</w:t>
      </w:r>
      <w:r/>
    </w:p>
    <w:p>
      <w:pPr>
        <w:pStyle w:val="789"/>
        <w:ind w:firstLine="709"/>
        <w:jc w:val="both"/>
        <w:spacing w:before="0" w:after="0"/>
        <w:rPr>
          <w:sz w:val="24"/>
        </w:rPr>
        <w:outlineLvl w:val="9"/>
      </w:pPr>
      <w:r>
        <w:rPr>
          <w:sz w:val="24"/>
        </w:rPr>
      </w:r>
      <w:r/>
    </w:p>
    <w:p>
      <w:pPr>
        <w:pStyle w:val="730"/>
        <w:rPr>
          <w:bCs/>
          <w:lang w:val="ru-RU"/>
        </w:rPr>
      </w:pPr>
      <w:r/>
      <w:bookmarkStart w:id="28" w:name="_Toc78885660"/>
      <w:r/>
      <w:bookmarkStart w:id="29" w:name="_Toc126688281"/>
      <w:r/>
      <w:bookmarkStart w:id="30" w:name="_Toc126688321"/>
      <w:r>
        <w:rPr>
          <w:lang w:val="ru-RU"/>
        </w:rPr>
        <w:t xml:space="preserve">2</w:t>
      </w:r>
      <w:r>
        <w:rPr>
          <w:lang w:val="ru-RU"/>
        </w:rPr>
        <w:t xml:space="preserve">.3</w:t>
      </w:r>
      <w:r>
        <w:rPr>
          <w:lang w:val="ru-RU"/>
        </w:rPr>
        <w:t xml:space="preserve">.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Материалы, оборудование и инструменты, запрещенные на площадке</w:t>
      </w:r>
      <w:bookmarkEnd w:id="28"/>
      <w:r/>
      <w:bookmarkEnd w:id="29"/>
      <w:r/>
      <w:bookmarkEnd w:id="30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Конкурсантам запрещено пользоваться любым инструментом, который не предоставлен площадкой проведения соревнований, также запрещено пользоваться пневматическим инструментом. На площадке проведения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соревнования запрещено пользоваться любыми цифровыми носителями не предоставленными организаторами соревнования.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  <w:r/>
    </w:p>
    <w:p>
      <w:pPr>
        <w:pStyle w:val="729"/>
        <w:rPr>
          <w:lang w:val="ru-RU"/>
        </w:rPr>
      </w:pPr>
      <w:r>
        <w:rPr>
          <w:lang w:val="ru-RU"/>
        </w:rPr>
        <w:br w:type="page" w:clear="all"/>
      </w:r>
      <w:r/>
    </w:p>
    <w:p>
      <w:pPr>
        <w:pStyle w:val="729"/>
        <w:rPr>
          <w:lang w:val="ru-RU"/>
        </w:rPr>
      </w:pPr>
      <w:r/>
      <w:bookmarkStart w:id="31" w:name="_Toc126688282"/>
      <w:r/>
      <w:bookmarkStart w:id="32" w:name="_Toc126688322"/>
      <w:r>
        <w:rPr>
          <w:lang w:val="ru-RU"/>
        </w:rPr>
        <w:t xml:space="preserve">3</w:t>
      </w:r>
      <w:r>
        <w:rPr>
          <w:lang w:val="ru-RU"/>
        </w:rPr>
        <w:t xml:space="preserve">. </w:t>
      </w:r>
      <w:r>
        <w:rPr>
          <w:lang w:val="ru-RU"/>
        </w:rPr>
        <w:t xml:space="preserve">Приложения</w:t>
      </w:r>
      <w:bookmarkEnd w:id="31"/>
      <w:r/>
      <w:bookmarkEnd w:id="32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Приложение%20№1%20Инструкция%20по%20заполнению%20матрицы%20конкурсного%20задания.docx" w:history="1">
        <w:r>
          <w:rPr>
            <w:rStyle w:val="759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59"/>
            <w:rFonts w:ascii="Times New Roman" w:hAnsi="Times New Roman" w:cs="Times New Roman"/>
            <w:sz w:val="28"/>
            <w:szCs w:val="28"/>
          </w:rPr>
          <w:t xml:space="preserve"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hyperlink r:id="rId15" w:tooltip="Приложение%20№2%20Матрица%20расчета%20конкурсного%20задания%20Обслуживание%20тяжёлой%20техники.xlsx" w:history="1">
        <w:r>
          <w:rPr>
            <w:rStyle w:val="759"/>
            <w:rFonts w:ascii="Times New Roman" w:hAnsi="Times New Roman" w:cs="Times New Roman"/>
            <w:sz w:val="28"/>
            <w:szCs w:val="28"/>
          </w:rPr>
          <w:t xml:space="preserve">Приложение №2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hyperlink r:id="rId16" w:tooltip="Приложение%20№4%20критерии%20оценки.xlsx" w:history="1">
        <w:r>
          <w:rPr>
            <w:rStyle w:val="759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59"/>
            <w:rFonts w:ascii="Times New Roman" w:hAnsi="Times New Roman" w:cs="Times New Roman"/>
            <w:sz w:val="28"/>
            <w:szCs w:val="28"/>
          </w:rPr>
          <w:t xml:space="preserve"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hyperlink r:id="rId17" w:tooltip="Приложение%20№6%20Охрана%20труда.docx" w:history="1">
        <w:r>
          <w:rPr>
            <w:rStyle w:val="759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759"/>
            <w:rFonts w:ascii="Times New Roman" w:hAnsi="Times New Roman" w:cs="Times New Roman"/>
            <w:sz w:val="28"/>
            <w:szCs w:val="28"/>
          </w:rPr>
          <w:t xml:space="preserve"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«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тяжелой техники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арта задания </w:t>
      </w:r>
      <w:r>
        <w:rPr>
          <w:rFonts w:ascii="Times New Roman" w:hAnsi="Times New Roman" w:cs="Times New Roman"/>
          <w:sz w:val="28"/>
          <w:szCs w:val="28"/>
        </w:rPr>
        <w:t xml:space="preserve">(М</w:t>
      </w:r>
      <w:r>
        <w:rPr>
          <w:rFonts w:ascii="Times New Roman" w:hAnsi="Times New Roman" w:cs="Times New Roman"/>
          <w:sz w:val="28"/>
          <w:szCs w:val="28"/>
        </w:rPr>
        <w:t xml:space="preserve">одуль 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арта задания </w:t>
      </w:r>
      <w:r>
        <w:rPr>
          <w:rFonts w:ascii="Times New Roman" w:hAnsi="Times New Roman" w:cs="Times New Roman"/>
          <w:sz w:val="28"/>
          <w:szCs w:val="28"/>
        </w:rPr>
        <w:t xml:space="preserve">(М</w:t>
      </w:r>
      <w:r>
        <w:rPr>
          <w:rFonts w:ascii="Times New Roman" w:hAnsi="Times New Roman" w:cs="Times New Roman"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7 К</w:t>
      </w:r>
      <w:r>
        <w:rPr>
          <w:rFonts w:ascii="Times New Roman" w:hAnsi="Times New Roman" w:cs="Times New Roman"/>
          <w:sz w:val="28"/>
          <w:szCs w:val="28"/>
        </w:rPr>
        <w:t xml:space="preserve">арта задания </w:t>
      </w:r>
      <w:r>
        <w:rPr>
          <w:rFonts w:ascii="Times New Roman" w:hAnsi="Times New Roman" w:cs="Times New Roman"/>
          <w:sz w:val="28"/>
          <w:szCs w:val="28"/>
        </w:rPr>
        <w:t xml:space="preserve">(М</w:t>
      </w:r>
      <w:r>
        <w:rPr>
          <w:rFonts w:ascii="Times New Roman" w:hAnsi="Times New Roman" w:cs="Times New Roman"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арта задания </w:t>
      </w:r>
      <w:r>
        <w:rPr>
          <w:rFonts w:ascii="Times New Roman" w:hAnsi="Times New Roman" w:cs="Times New Roman"/>
          <w:sz w:val="28"/>
          <w:szCs w:val="28"/>
        </w:rPr>
        <w:t xml:space="preserve">(М</w:t>
      </w:r>
      <w:r>
        <w:rPr>
          <w:rFonts w:ascii="Times New Roman" w:hAnsi="Times New Roman" w:cs="Times New Roman"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арта задания </w:t>
      </w:r>
      <w:r>
        <w:rPr>
          <w:rFonts w:ascii="Times New Roman" w:hAnsi="Times New Roman" w:cs="Times New Roman"/>
          <w:sz w:val="28"/>
          <w:szCs w:val="28"/>
        </w:rPr>
        <w:t xml:space="preserve">(М</w:t>
      </w:r>
      <w:r>
        <w:rPr>
          <w:rFonts w:ascii="Times New Roman" w:hAnsi="Times New Roman" w:cs="Times New Roman"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арта задания </w:t>
      </w:r>
      <w:r>
        <w:rPr>
          <w:rFonts w:ascii="Times New Roman" w:hAnsi="Times New Roman" w:cs="Times New Roman"/>
          <w:sz w:val="28"/>
          <w:szCs w:val="28"/>
        </w:rPr>
        <w:t xml:space="preserve">(М</w:t>
      </w:r>
      <w:r>
        <w:rPr>
          <w:rFonts w:ascii="Times New Roman" w:hAnsi="Times New Roman" w:cs="Times New Roman"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арта задания </w:t>
      </w:r>
      <w:r>
        <w:rPr>
          <w:rFonts w:ascii="Times New Roman" w:hAnsi="Times New Roman" w:cs="Times New Roman"/>
          <w:sz w:val="28"/>
          <w:szCs w:val="28"/>
        </w:rPr>
        <w:t xml:space="preserve">(М</w:t>
      </w:r>
      <w:r>
        <w:rPr>
          <w:rFonts w:ascii="Times New Roman" w:hAnsi="Times New Roman" w:cs="Times New Roman"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743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743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20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pStyle w:val="807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pStyle w:val="781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pStyle w:val="795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pStyle w:val="763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164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4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3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36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23"/>
  </w:num>
  <w:num w:numId="17">
    <w:abstractNumId w:val="20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38"/>
    <w:link w:val="72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38"/>
    <w:link w:val="73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38"/>
    <w:link w:val="73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38"/>
    <w:link w:val="73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38"/>
    <w:link w:val="73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38"/>
    <w:link w:val="73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38"/>
    <w:link w:val="73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38"/>
    <w:link w:val="73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38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28"/>
    <w:next w:val="72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38"/>
    <w:link w:val="33"/>
    <w:uiPriority w:val="10"/>
    <w:rPr>
      <w:sz w:val="48"/>
      <w:szCs w:val="48"/>
    </w:rPr>
  </w:style>
  <w:style w:type="paragraph" w:styleId="35">
    <w:name w:val="Subtitle"/>
    <w:basedOn w:val="728"/>
    <w:next w:val="72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38"/>
    <w:link w:val="35"/>
    <w:uiPriority w:val="11"/>
    <w:rPr>
      <w:sz w:val="24"/>
      <w:szCs w:val="24"/>
    </w:rPr>
  </w:style>
  <w:style w:type="paragraph" w:styleId="37">
    <w:name w:val="Quote"/>
    <w:basedOn w:val="728"/>
    <w:next w:val="72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8"/>
    <w:next w:val="72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38"/>
    <w:link w:val="741"/>
    <w:uiPriority w:val="99"/>
  </w:style>
  <w:style w:type="character" w:styleId="44">
    <w:name w:val="Footer Char"/>
    <w:basedOn w:val="738"/>
    <w:link w:val="743"/>
    <w:uiPriority w:val="99"/>
  </w:style>
  <w:style w:type="character" w:styleId="46">
    <w:name w:val="Caption Char"/>
    <w:basedOn w:val="774"/>
    <w:link w:val="743"/>
    <w:uiPriority w:val="99"/>
  </w:style>
  <w:style w:type="table" w:styleId="48">
    <w:name w:val="Table Grid Light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77"/>
    <w:uiPriority w:val="99"/>
    <w:rPr>
      <w:sz w:val="18"/>
    </w:rPr>
  </w:style>
  <w:style w:type="paragraph" w:styleId="177">
    <w:name w:val="endnote text"/>
    <w:basedOn w:val="72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38"/>
    <w:uiPriority w:val="99"/>
    <w:semiHidden/>
    <w:unhideWhenUsed/>
    <w:rPr>
      <w:vertAlign w:val="superscript"/>
    </w:rPr>
  </w:style>
  <w:style w:type="paragraph" w:styleId="183">
    <w:name w:val="toc 4"/>
    <w:basedOn w:val="728"/>
    <w:next w:val="72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28"/>
    <w:next w:val="72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28"/>
    <w:next w:val="72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28"/>
    <w:next w:val="72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28"/>
    <w:next w:val="72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28"/>
    <w:next w:val="728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28"/>
    <w:next w:val="728"/>
    <w:uiPriority w:val="99"/>
    <w:unhideWhenUsed/>
    <w:pPr>
      <w:spacing w:after="0" w:afterAutospacing="0"/>
    </w:pPr>
  </w:style>
  <w:style w:type="paragraph" w:styleId="728" w:default="1">
    <w:name w:val="Normal"/>
    <w:qFormat/>
  </w:style>
  <w:style w:type="paragraph" w:styleId="729">
    <w:name w:val="Heading 1"/>
    <w:basedOn w:val="728"/>
    <w:next w:val="728"/>
    <w:link w:val="750"/>
    <w:qFormat/>
    <w:pPr>
      <w:keepNext/>
      <w:spacing w:before="240" w:after="120" w:line="360" w:lineRule="auto"/>
      <w:outlineLvl w:val="0"/>
    </w:pPr>
    <w:rPr>
      <w:rFonts w:ascii="Times New Roman" w:hAnsi="Times New Roman" w:eastAsia="Times New Roman" w:cs="Times New Roman"/>
      <w:b/>
      <w:bCs/>
      <w:caps/>
      <w:sz w:val="32"/>
      <w:szCs w:val="24"/>
      <w:lang w:val="en-GB"/>
    </w:rPr>
  </w:style>
  <w:style w:type="paragraph" w:styleId="730">
    <w:name w:val="Heading 2"/>
    <w:basedOn w:val="728"/>
    <w:next w:val="728"/>
    <w:link w:val="751"/>
    <w:qFormat/>
    <w:pPr>
      <w:keepNext/>
      <w:spacing w:before="240" w:after="120" w:line="360" w:lineRule="auto"/>
      <w:outlineLvl w:val="1"/>
    </w:pPr>
    <w:rPr>
      <w:rFonts w:ascii="Times New Roman" w:hAnsi="Times New Roman" w:eastAsia="Times New Roman" w:cs="Times New Roman"/>
      <w:b/>
      <w:sz w:val="28"/>
      <w:szCs w:val="24"/>
      <w:lang w:val="en-GB"/>
    </w:rPr>
  </w:style>
  <w:style w:type="paragraph" w:styleId="731">
    <w:name w:val="Heading 3"/>
    <w:basedOn w:val="728"/>
    <w:next w:val="728"/>
    <w:link w:val="752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32">
    <w:name w:val="Heading 4"/>
    <w:basedOn w:val="728"/>
    <w:next w:val="728"/>
    <w:link w:val="753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33">
    <w:name w:val="Heading 5"/>
    <w:basedOn w:val="728"/>
    <w:next w:val="728"/>
    <w:link w:val="754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34">
    <w:name w:val="Heading 6"/>
    <w:basedOn w:val="728"/>
    <w:next w:val="728"/>
    <w:link w:val="755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35">
    <w:name w:val="Heading 7"/>
    <w:basedOn w:val="728"/>
    <w:next w:val="728"/>
    <w:link w:val="756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36">
    <w:name w:val="Heading 8"/>
    <w:basedOn w:val="728"/>
    <w:next w:val="728"/>
    <w:link w:val="757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37">
    <w:name w:val="Heading 9"/>
    <w:basedOn w:val="728"/>
    <w:next w:val="728"/>
    <w:link w:val="758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paragraph" w:styleId="741">
    <w:name w:val="Header"/>
    <w:basedOn w:val="728"/>
    <w:link w:val="7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2" w:customStyle="1">
    <w:name w:val="Верхний колонтитул Знак"/>
    <w:basedOn w:val="738"/>
    <w:link w:val="741"/>
    <w:uiPriority w:val="99"/>
  </w:style>
  <w:style w:type="paragraph" w:styleId="743">
    <w:name w:val="Footer"/>
    <w:basedOn w:val="728"/>
    <w:link w:val="7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4" w:customStyle="1">
    <w:name w:val="Нижний колонтитул Знак"/>
    <w:basedOn w:val="738"/>
    <w:link w:val="743"/>
    <w:uiPriority w:val="99"/>
  </w:style>
  <w:style w:type="paragraph" w:styleId="745">
    <w:name w:val="No Spacing"/>
    <w:link w:val="746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46" w:customStyle="1">
    <w:name w:val="Без интервала Знак"/>
    <w:basedOn w:val="738"/>
    <w:link w:val="745"/>
    <w:uiPriority w:val="1"/>
    <w:rPr>
      <w:rFonts w:eastAsiaTheme="minorEastAsia"/>
      <w:lang w:eastAsia="ru-RU"/>
    </w:rPr>
  </w:style>
  <w:style w:type="character" w:styleId="747">
    <w:name w:val="Placeholder Text"/>
    <w:basedOn w:val="738"/>
    <w:uiPriority w:val="99"/>
    <w:semiHidden/>
    <w:rPr>
      <w:color w:val="808080"/>
    </w:rPr>
  </w:style>
  <w:style w:type="paragraph" w:styleId="748">
    <w:name w:val="Balloon Text"/>
    <w:basedOn w:val="728"/>
    <w:link w:val="74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49" w:customStyle="1">
    <w:name w:val="Текст выноски Знак"/>
    <w:basedOn w:val="738"/>
    <w:link w:val="748"/>
    <w:rPr>
      <w:rFonts w:ascii="Tahoma" w:hAnsi="Tahoma" w:cs="Tahoma"/>
      <w:sz w:val="16"/>
      <w:szCs w:val="16"/>
    </w:rPr>
  </w:style>
  <w:style w:type="character" w:styleId="750" w:customStyle="1">
    <w:name w:val="Заголовок 1 Знак"/>
    <w:basedOn w:val="738"/>
    <w:link w:val="729"/>
    <w:rPr>
      <w:rFonts w:ascii="Times New Roman" w:hAnsi="Times New Roman" w:eastAsia="Times New Roman" w:cs="Times New Roman"/>
      <w:b/>
      <w:bCs/>
      <w:caps/>
      <w:sz w:val="32"/>
      <w:szCs w:val="24"/>
      <w:lang w:val="en-GB"/>
    </w:rPr>
  </w:style>
  <w:style w:type="character" w:styleId="751" w:customStyle="1">
    <w:name w:val="Заголовок 2 Знак"/>
    <w:basedOn w:val="738"/>
    <w:link w:val="730"/>
    <w:rPr>
      <w:rFonts w:ascii="Times New Roman" w:hAnsi="Times New Roman" w:eastAsia="Times New Roman" w:cs="Times New Roman"/>
      <w:b/>
      <w:sz w:val="28"/>
      <w:szCs w:val="24"/>
      <w:lang w:val="en-GB"/>
    </w:rPr>
  </w:style>
  <w:style w:type="character" w:styleId="752" w:customStyle="1">
    <w:name w:val="Заголовок 3 Знак"/>
    <w:basedOn w:val="738"/>
    <w:link w:val="731"/>
    <w:rPr>
      <w:rFonts w:ascii="Arial" w:hAnsi="Arial" w:eastAsia="Times New Roman" w:cs="Arial"/>
      <w:b/>
      <w:bCs/>
      <w:szCs w:val="26"/>
      <w:lang w:val="en-GB"/>
    </w:rPr>
  </w:style>
  <w:style w:type="character" w:styleId="753" w:customStyle="1">
    <w:name w:val="Заголовок 4 Знак"/>
    <w:basedOn w:val="738"/>
    <w:link w:val="732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754" w:customStyle="1">
    <w:name w:val="Заголовок 5 Знак"/>
    <w:basedOn w:val="738"/>
    <w:link w:val="733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755" w:customStyle="1">
    <w:name w:val="Заголовок 6 Знак"/>
    <w:basedOn w:val="738"/>
    <w:link w:val="734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56" w:customStyle="1">
    <w:name w:val="Заголовок 7 Знак"/>
    <w:basedOn w:val="738"/>
    <w:link w:val="735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757" w:customStyle="1">
    <w:name w:val="Заголовок 8 Знак"/>
    <w:basedOn w:val="738"/>
    <w:link w:val="736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758" w:customStyle="1">
    <w:name w:val="Заголовок 9 Знак"/>
    <w:basedOn w:val="738"/>
    <w:link w:val="737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59">
    <w:name w:val="Hyperlink"/>
    <w:uiPriority w:val="99"/>
    <w:rPr>
      <w:color w:val="0000ff"/>
      <w:u w:val="single"/>
    </w:rPr>
  </w:style>
  <w:style w:type="table" w:styleId="760">
    <w:name w:val="Table Grid"/>
    <w:basedOn w:val="7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61">
    <w:name w:val="toc 1"/>
    <w:basedOn w:val="728"/>
    <w:next w:val="728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762" w:customStyle="1">
    <w:name w:val="numbered list"/>
    <w:basedOn w:val="763"/>
  </w:style>
  <w:style w:type="paragraph" w:styleId="763" w:customStyle="1">
    <w:name w:val="bullet"/>
    <w:basedOn w:val="728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64">
    <w:name w:val="page number"/>
    <w:rPr>
      <w:rFonts w:ascii="Arial" w:hAnsi="Arial"/>
      <w:sz w:val="16"/>
    </w:rPr>
  </w:style>
  <w:style w:type="paragraph" w:styleId="765" w:customStyle="1">
    <w:name w:val="Doc subtitle1"/>
    <w:basedOn w:val="728"/>
    <w:link w:val="776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66" w:customStyle="1">
    <w:name w:val="Doc subtitle2"/>
    <w:basedOn w:val="728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767" w:customStyle="1">
    <w:name w:val="Doc title"/>
    <w:basedOn w:val="728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768">
    <w:name w:val="Body Text"/>
    <w:basedOn w:val="728"/>
    <w:link w:val="769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769" w:customStyle="1">
    <w:name w:val="Основной текст Знак"/>
    <w:basedOn w:val="738"/>
    <w:link w:val="768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770">
    <w:name w:val="Body Text Indent 2"/>
    <w:basedOn w:val="728"/>
    <w:link w:val="771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771" w:customStyle="1">
    <w:name w:val="Основной текст с отступом 2 Знак"/>
    <w:basedOn w:val="738"/>
    <w:link w:val="770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772">
    <w:name w:val="Body Text 2"/>
    <w:basedOn w:val="728"/>
    <w:link w:val="773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773" w:customStyle="1">
    <w:name w:val="Основной текст 2 Знак"/>
    <w:basedOn w:val="738"/>
    <w:link w:val="772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774">
    <w:name w:val="Caption"/>
    <w:basedOn w:val="728"/>
    <w:next w:val="728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775" w:customStyle="1">
    <w:name w:val="Абзац списка1"/>
    <w:basedOn w:val="728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76" w:customStyle="1">
    <w:name w:val="Doc subtitle1 Char"/>
    <w:link w:val="765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777">
    <w:name w:val="footnote text"/>
    <w:basedOn w:val="728"/>
    <w:link w:val="778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778" w:customStyle="1">
    <w:name w:val="Текст сноски Знак"/>
    <w:basedOn w:val="738"/>
    <w:link w:val="777"/>
    <w:rPr>
      <w:rFonts w:ascii="Times New Roman" w:hAnsi="Times New Roman" w:eastAsia="Times New Roman" w:cs="Times New Roman"/>
      <w:szCs w:val="20"/>
      <w:lang w:eastAsia="ru-RU"/>
    </w:rPr>
  </w:style>
  <w:style w:type="character" w:styleId="779">
    <w:name w:val="footnote reference"/>
    <w:rPr>
      <w:vertAlign w:val="superscript"/>
    </w:rPr>
  </w:style>
  <w:style w:type="character" w:styleId="780">
    <w:name w:val="FollowedHyperlink"/>
    <w:rPr>
      <w:color w:val="800080"/>
      <w:u w:val="single"/>
    </w:rPr>
  </w:style>
  <w:style w:type="paragraph" w:styleId="781" w:customStyle="1">
    <w:name w:val="цветной текст"/>
    <w:basedOn w:val="728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782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783" w:customStyle="1">
    <w:name w:val="выделение цвет"/>
    <w:basedOn w:val="728"/>
    <w:link w:val="796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784" w:customStyle="1">
    <w:name w:val="цвет в таблице"/>
    <w:rPr>
      <w:color w:val="2c8de6"/>
    </w:rPr>
  </w:style>
  <w:style w:type="paragraph" w:styleId="785">
    <w:name w:val="TOC Heading"/>
    <w:basedOn w:val="729"/>
    <w:next w:val="728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786">
    <w:name w:val="toc 2"/>
    <w:basedOn w:val="728"/>
    <w:next w:val="728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787">
    <w:name w:val="toc 3"/>
    <w:basedOn w:val="728"/>
    <w:next w:val="728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788" w:customStyle="1">
    <w:name w:val="!Заголовок-1"/>
    <w:basedOn w:val="729"/>
    <w:link w:val="790"/>
    <w:qFormat/>
    <w:rPr>
      <w:lang w:val="ru-RU"/>
    </w:rPr>
  </w:style>
  <w:style w:type="paragraph" w:styleId="789" w:customStyle="1">
    <w:name w:val="!заголовок-2"/>
    <w:basedOn w:val="730"/>
    <w:link w:val="792"/>
    <w:qFormat/>
    <w:rPr>
      <w:lang w:val="ru-RU"/>
    </w:rPr>
  </w:style>
  <w:style w:type="character" w:styleId="790" w:customStyle="1">
    <w:name w:val="!Заголовок-1 Знак"/>
    <w:link w:val="78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791" w:customStyle="1">
    <w:name w:val="!Текст"/>
    <w:basedOn w:val="728"/>
    <w:link w:val="794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792" w:customStyle="1">
    <w:name w:val="!заголовок-2 Знак"/>
    <w:link w:val="789"/>
    <w:rPr>
      <w:rFonts w:ascii="Arial" w:hAnsi="Arial" w:eastAsia="Times New Roman" w:cs="Times New Roman"/>
      <w:b/>
      <w:sz w:val="28"/>
      <w:szCs w:val="24"/>
    </w:rPr>
  </w:style>
  <w:style w:type="paragraph" w:styleId="793" w:customStyle="1">
    <w:name w:val="!Синий заголовок текста"/>
    <w:basedOn w:val="783"/>
    <w:link w:val="797"/>
    <w:qFormat/>
  </w:style>
  <w:style w:type="character" w:styleId="794" w:customStyle="1">
    <w:name w:val="!Текст Знак"/>
    <w:link w:val="791"/>
    <w:rPr>
      <w:rFonts w:ascii="Times New Roman" w:hAnsi="Times New Roman" w:eastAsia="Times New Roman" w:cs="Times New Roman"/>
      <w:szCs w:val="20"/>
      <w:lang w:eastAsia="ru-RU"/>
    </w:rPr>
  </w:style>
  <w:style w:type="paragraph" w:styleId="795" w:customStyle="1">
    <w:name w:val="!Список с точками"/>
    <w:basedOn w:val="728"/>
    <w:link w:val="799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796" w:customStyle="1">
    <w:name w:val="выделение цвет Знак"/>
    <w:link w:val="783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797" w:customStyle="1">
    <w:name w:val="!Синий заголовок текста Знак"/>
    <w:link w:val="793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798">
    <w:name w:val="List Paragraph"/>
    <w:basedOn w:val="728"/>
    <w:link w:val="81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799" w:customStyle="1">
    <w:name w:val="!Список с точками Знак"/>
    <w:link w:val="795"/>
    <w:rPr>
      <w:rFonts w:ascii="Times New Roman" w:hAnsi="Times New Roman" w:eastAsia="Times New Roman" w:cs="Times New Roman"/>
      <w:szCs w:val="20"/>
      <w:lang w:eastAsia="ru-RU"/>
    </w:rPr>
  </w:style>
  <w:style w:type="paragraph" w:styleId="800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01" w:customStyle="1">
    <w:name w:val="Интернет-ссылка"/>
    <w:rPr>
      <w:color w:val="0000ff"/>
      <w:u w:val="single"/>
      <w:lang w:val="ru-RU" w:eastAsia="ru-RU" w:bidi="ru-RU"/>
    </w:rPr>
  </w:style>
  <w:style w:type="character" w:styleId="802">
    <w:name w:val="annotation reference"/>
    <w:basedOn w:val="738"/>
    <w:semiHidden/>
    <w:unhideWhenUsed/>
    <w:rPr>
      <w:sz w:val="16"/>
      <w:szCs w:val="16"/>
    </w:rPr>
  </w:style>
  <w:style w:type="paragraph" w:styleId="803">
    <w:name w:val="annotation text"/>
    <w:basedOn w:val="728"/>
    <w:link w:val="804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04" w:customStyle="1">
    <w:name w:val="Текст примечания Знак"/>
    <w:basedOn w:val="738"/>
    <w:link w:val="803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05">
    <w:name w:val="annotation subject"/>
    <w:basedOn w:val="803"/>
    <w:next w:val="803"/>
    <w:link w:val="806"/>
    <w:semiHidden/>
    <w:unhideWhenUsed/>
    <w:rPr>
      <w:b/>
      <w:bCs/>
    </w:rPr>
  </w:style>
  <w:style w:type="character" w:styleId="806" w:customStyle="1">
    <w:name w:val="Тема примечания Знак"/>
    <w:basedOn w:val="804"/>
    <w:link w:val="805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07" w:customStyle="1">
    <w:name w:val="Lista Black"/>
    <w:basedOn w:val="768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08" w:customStyle="1">
    <w:name w:val="Основной текст (14)_"/>
    <w:basedOn w:val="738"/>
    <w:link w:val="809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09" w:customStyle="1">
    <w:name w:val="Основной текст (14)_3"/>
    <w:basedOn w:val="728"/>
    <w:link w:val="808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10" w:customStyle="1">
    <w:name w:val="Неразрешенное упоминание1"/>
    <w:basedOn w:val="738"/>
    <w:uiPriority w:val="99"/>
    <w:semiHidden/>
    <w:unhideWhenUsed/>
    <w:rPr>
      <w:color w:val="605e5c"/>
      <w:shd w:val="clear" w:color="auto" w:fill="e1dfdd"/>
    </w:rPr>
  </w:style>
  <w:style w:type="character" w:styleId="811" w:customStyle="1">
    <w:name w:val="Неразрешенное упоминание2"/>
    <w:basedOn w:val="738"/>
    <w:uiPriority w:val="99"/>
    <w:semiHidden/>
    <w:unhideWhenUsed/>
    <w:rPr>
      <w:color w:val="605e5c"/>
      <w:shd w:val="clear" w:color="auto" w:fill="e1dfdd"/>
    </w:rPr>
  </w:style>
  <w:style w:type="paragraph" w:styleId="812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813" w:customStyle="1">
    <w:name w:val="Абзац списка Знак"/>
    <w:basedOn w:val="738"/>
    <w:link w:val="798"/>
    <w:uiPriority w:val="34"/>
    <w:rPr>
      <w:rFonts w:ascii="Calibri" w:hAnsi="Calibri" w:eastAsia="Calibri" w:cs="Times New Roman"/>
    </w:rPr>
  </w:style>
  <w:style w:type="paragraph" w:styleId="814" w:customStyle="1">
    <w:name w:val="Стиль1"/>
    <w:basedOn w:val="729"/>
    <w:link w:val="816"/>
    <w:qFormat/>
    <w:pPr>
      <w:ind w:firstLine="709"/>
      <w:jc w:val="both"/>
      <w:spacing w:after="0"/>
    </w:pPr>
    <w:rPr>
      <w:szCs w:val="28"/>
    </w:rPr>
  </w:style>
  <w:style w:type="paragraph" w:styleId="815" w:customStyle="1">
    <w:name w:val="Стиль2"/>
    <w:basedOn w:val="730"/>
    <w:link w:val="818"/>
    <w:qFormat/>
    <w:pPr>
      <w:ind w:firstLine="709"/>
      <w:jc w:val="both"/>
      <w:spacing w:before="0" w:after="0"/>
      <w:outlineLvl w:val="9"/>
    </w:pPr>
    <w:rPr>
      <w:sz w:val="24"/>
    </w:rPr>
  </w:style>
  <w:style w:type="character" w:styleId="816" w:customStyle="1">
    <w:name w:val="Стиль1 Знак"/>
    <w:basedOn w:val="738"/>
    <w:link w:val="814"/>
    <w:rPr>
      <w:rFonts w:ascii="Times New Roman" w:hAnsi="Times New Roman" w:eastAsia="Times New Roman" w:cs="Times New Roman"/>
      <w:b/>
      <w:bCs/>
      <w:caps/>
      <w:sz w:val="32"/>
      <w:szCs w:val="28"/>
      <w:lang w:val="en-GB"/>
    </w:rPr>
  </w:style>
  <w:style w:type="paragraph" w:styleId="817" w:customStyle="1">
    <w:name w:val="Стиль3"/>
    <w:basedOn w:val="731"/>
    <w:link w:val="819"/>
    <w:qFormat/>
    <w:rPr>
      <w:rFonts w:ascii="Times New Roman" w:hAnsi="Times New Roman"/>
      <w:sz w:val="28"/>
    </w:rPr>
  </w:style>
  <w:style w:type="character" w:styleId="818" w:customStyle="1">
    <w:name w:val="Стиль2 Знак"/>
    <w:basedOn w:val="792"/>
    <w:link w:val="815"/>
    <w:rPr>
      <w:rFonts w:ascii="Times New Roman" w:hAnsi="Times New Roman" w:eastAsia="Times New Roman" w:cs="Times New Roman"/>
      <w:b/>
      <w:sz w:val="24"/>
      <w:szCs w:val="24"/>
      <w:lang w:val="en-GB"/>
    </w:rPr>
  </w:style>
  <w:style w:type="character" w:styleId="819" w:customStyle="1">
    <w:name w:val="Стиль3 Знак"/>
    <w:basedOn w:val="818"/>
    <w:link w:val="817"/>
    <w:rPr>
      <w:rFonts w:ascii="Times New Roman" w:hAnsi="Times New Roman" w:eastAsia="Times New Roman" w:cs="Arial"/>
      <w:b/>
      <w:bCs/>
      <w:sz w:val="28"/>
      <w:szCs w:val="26"/>
      <w:lang w:val="en-GB"/>
    </w:rPr>
  </w:style>
  <w:style w:type="character" w:styleId="820">
    <w:name w:val="Unresolved Mention"/>
    <w:basedOn w:val="73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disk.yandex.ru/d/eShYqjzJRls8sA" TargetMode="External"/><Relationship Id="rId13" Type="http://schemas.openxmlformats.org/officeDocument/2006/relationships/hyperlink" Target="&#1055;&#1088;&#1080;&#1083;&#1086;&#1078;&#1077;&#1085;&#1080;&#1077;%20&#8470;2%20&#1052;&#1072;&#1090;&#1088;&#1080;&#1094;&#1072;%20&#1088;&#1072;&#1089;&#1095;&#1077;&#1090;&#1072;%20&#1082;&#1086;&#1085;&#1082;&#1091;&#1088;&#1089;&#1085;&#1086;&#1075;&#1086;%20&#1079;&#1072;&#1076;&#1072;&#1085;&#1080;&#1103;%20&#1054;&#1073;&#1089;&#1083;&#1091;&#1078;&#1080;&#1074;&#1072;&#1085;&#1080;&#1077;%20&#1090;&#1103;&#1078;&#1105;&#1083;&#1086;&#1081;%20&#1090;&#1077;&#1093;&#1085;&#1080;&#1082;&#1080;.xlsx" TargetMode="External"/><Relationship Id="rId14" Type="http://schemas.openxmlformats.org/officeDocument/2006/relationships/hyperlink" Target="&#1055;&#1088;&#1080;&#1083;&#1086;&#1078;&#1077;&#1085;&#1080;&#1077;%20&#8470;1%20&#1048;&#1085;&#1089;&#1090;&#1088;&#1091;&#1082;&#1094;&#1080;&#1103;%20&#1087;&#1086;%20&#1079;&#1072;&#1087;&#1086;&#1083;&#1085;&#1077;&#1085;&#1080;&#1102;%20&#1084;&#1072;&#1090;&#1088;&#1080;&#1094;&#1099;%20&#1082;&#1086;&#1085;&#1082;&#1091;&#1088;&#1089;&#1085;&#1086;&#1075;&#1086;%20&#1079;&#1072;&#1076;&#1072;&#1085;&#1080;&#1103;.docx" TargetMode="External"/><Relationship Id="rId15" Type="http://schemas.openxmlformats.org/officeDocument/2006/relationships/hyperlink" Target="&#1055;&#1088;&#1080;&#1083;&#1086;&#1078;&#1077;&#1085;&#1080;&#1077;%20&#8470;2%20&#1052;&#1072;&#1090;&#1088;&#1080;&#1094;&#1072;%20&#1088;&#1072;&#1089;&#1095;&#1077;&#1090;&#1072;%20&#1082;&#1086;&#1085;&#1082;&#1091;&#1088;&#1089;&#1085;&#1086;&#1075;&#1086;%20&#1079;&#1072;&#1076;&#1072;&#1085;&#1080;&#1103;%20&#1054;&#1073;&#1089;&#1083;&#1091;&#1078;&#1080;&#1074;&#1072;&#1085;&#1080;&#1077;%20&#1090;&#1103;&#1078;&#1105;&#1083;&#1086;&#1081;%20&#1090;&#1077;&#1093;&#1085;&#1080;&#1082;&#1080;.xlsx" TargetMode="External"/><Relationship Id="rId16" Type="http://schemas.openxmlformats.org/officeDocument/2006/relationships/hyperlink" Target="&#1055;&#1088;&#1080;&#1083;&#1086;&#1078;&#1077;&#1085;&#1080;&#1077;%20&#8470;4%20&#1082;&#1088;&#1080;&#1090;&#1077;&#1088;&#1080;&#1080;%20&#1086;&#1094;&#1077;&#1085;&#1082;&#1080;.xlsx" TargetMode="External"/><Relationship Id="rId17" Type="http://schemas.openxmlformats.org/officeDocument/2006/relationships/hyperlink" Target="&#1055;&#1088;&#1080;&#1083;&#1086;&#1078;&#1077;&#1085;&#1080;&#1077;%20&#8470;6%20&#1054;&#1093;&#1088;&#1072;&#1085;&#1072;%20&#1090;&#1088;&#1091;&#1076;&#1072;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9760-DAEB-4398-A309-4C2CC97B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Артур Ялаев</cp:lastModifiedBy>
  <cp:revision>39</cp:revision>
  <dcterms:created xsi:type="dcterms:W3CDTF">2023-01-12T10:59:00Z</dcterms:created>
  <dcterms:modified xsi:type="dcterms:W3CDTF">2023-02-15T07:05:35Z</dcterms:modified>
</cp:coreProperties>
</file>