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</w:t>
      </w:r>
      <w:r>
        <w:rPr>
          <w:rFonts w:ascii="Times New Roman" w:hAnsi="Times New Roman" w:cs="Times New Roman"/>
          <w:sz w:val="72"/>
          <w:szCs w:val="72"/>
        </w:rPr>
        <w:t xml:space="preserve">ПРОМЫШЛЕННАЯ РОБОТОТЕХНИКА</w:t>
      </w:r>
      <w:r>
        <w:rPr>
          <w:rFonts w:ascii="Times New Roman" w:hAnsi="Times New Roman" w:cs="Times New Roman"/>
          <w:sz w:val="72"/>
          <w:szCs w:val="72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ЮНИОРЫ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«Промышленная робототехника»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командная 2 человека.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 w:eastAsia="Times New Roman" w:cs="Times New Roman"/>
          <w:i/>
          <w:sz w:val="28"/>
          <w:szCs w:val="28"/>
          <w:vertAlign w:val="subscript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bscript"/>
          <w:lang w:eastAsia="ru-RU"/>
        </w:rPr>
      </w:r>
      <w:r/>
    </w:p>
    <w:p>
      <w:pPr>
        <w:ind w:firstLine="708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Промышленная робототехника – эффективный, гибкий и быстро окупа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емый метод автоматизации производства, который используется практически во всех отраслях современной промышленности. Внедрение роботов на предприятиях позволяет в короткие сроки увеличить объемы производства и значительно снизить производственные издержки.</w:t>
      </w:r>
      <w:r/>
    </w:p>
    <w:p>
      <w:pPr>
        <w:ind w:firstLine="708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Промышленные роботы используются при автоматизации сварочных процессов и механической обработке детале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й, при выполнении технологических операций и укладке грузов на поддоны. Специалисты по обслуживанию робототехники конструируют, налаживают, программируют и внедряют роботизированные системы, стремясь к максимальной автоматизации производственных процессов.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ФГОС СПО: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ФГОС СПО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15.02.15 Техническая эксплуатация и обслуживание роботизированного производства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утвержденного приказом Министерства образования и науки РФ от 9 декабря 2016 г. N 1575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pStyle w:val="666"/>
        <w:spacing w:after="0" w:line="240" w:lineRule="auto"/>
        <w:rPr>
          <w:rFonts w:ascii="Verdana" w:hAnsi="Verdana" w:eastAsia="Times New Roman"/>
          <w:b/>
          <w:bCs/>
          <w:color w:val="333333"/>
          <w:sz w:val="23"/>
          <w:szCs w:val="23"/>
          <w:lang w:eastAsia="ru-RU"/>
        </w:rPr>
        <w:outlineLvl w:val="0"/>
      </w:pPr>
      <w:r>
        <w:rPr>
          <w:rFonts w:ascii="Verdana" w:hAnsi="Verdana" w:eastAsia="Times New Roman"/>
          <w:b/>
          <w:bCs/>
          <w:color w:val="333333"/>
          <w:sz w:val="23"/>
          <w:szCs w:val="23"/>
          <w:lang w:eastAsia="ru-RU"/>
        </w:rPr>
      </w:r>
      <w:r/>
    </w:p>
    <w:p>
      <w:pPr>
        <w:pStyle w:val="666"/>
        <w:numPr>
          <w:ilvl w:val="0"/>
          <w:numId w:val="1"/>
        </w:numPr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333333"/>
          <w:sz w:val="28"/>
          <w:szCs w:val="28"/>
          <w:lang w:eastAsia="ru-RU"/>
        </w:rPr>
        <w:t xml:space="preserve">Профессиональный стандарт:</w:t>
      </w:r>
      <w:r/>
    </w:p>
    <w:p>
      <w:pPr>
        <w:pStyle w:val="666"/>
        <w:ind w:left="0" w:firstLine="720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333333"/>
          <w:sz w:val="28"/>
          <w:szCs w:val="28"/>
          <w:lang w:eastAsia="ru-RU"/>
        </w:rPr>
        <w:t xml:space="preserve">Профстандарт</w:t>
      </w:r>
      <w:r>
        <w:rPr>
          <w:rFonts w:ascii="Times New Roman" w:hAnsi="Times New Roman" w:eastAsia="Times New Roman"/>
          <w:bCs/>
          <w:color w:val="333333"/>
          <w:sz w:val="28"/>
          <w:szCs w:val="28"/>
          <w:lang w:eastAsia="ru-RU"/>
        </w:rPr>
        <w:t xml:space="preserve"> 28.003 </w:t>
      </w:r>
      <w:r>
        <w:rPr>
          <w:rFonts w:ascii="Times New Roman" w:hAnsi="Times New Roman" w:eastAsia="Times New Roman"/>
          <w:bCs/>
          <w:color w:val="444444"/>
          <w:sz w:val="28"/>
          <w:szCs w:val="28"/>
          <w:lang w:eastAsia="ru-RU"/>
        </w:rPr>
        <w:t xml:space="preserve">Специалист по автоматизации и механизации механосборочного производства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Утвержде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приказом Министерства труди социальной защиты Российской Федерации от 31.03.2022 № 190н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  <w:highlight w:val="yellow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Планировать процесс выполнения своей работы на основе конструкторской документации и планировки роботизированного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участка.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сборку узлов манипуляторов на технологических позициях роботизированных участков в соответствии с конструкторской документацией.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комплекс пусконаладочных работ манипуляторов на технологических позициях роботизированных участков в соответствии с требованиями конструкторской документации.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настройку и конфигурирование программируемых логических контроллеров манипуляторов в соответствии с принципиальными схемами подключения.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Разрабатывать управляющие программы для манипуляторов в соответствии с техническим заданием.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Организовывать работы по устранению неполадок, отказов манипуляторов роботизированного участка в рамках своей компетенции.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Планировать работы по наладке 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подналадке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манипуляторов на основе технологической документации в соответствии с производственными задачами.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Контролировать качество работ по наладке,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подналадке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техническому обслуживанию манипуляторов и соблюдение норм охраны труда и бережливого производства.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both"/>
        <w:spacing w:line="360" w:lineRule="auto"/>
        <w:tabs>
          <w:tab w:val="left" w:pos="351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7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3"/>
    <w:link w:val="66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3"/>
    <w:link w:val="662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0"/>
    <w:next w:val="66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0"/>
    <w:next w:val="66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0"/>
    <w:next w:val="66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0"/>
    <w:next w:val="66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0"/>
    <w:next w:val="66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0"/>
    <w:next w:val="66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0"/>
    <w:next w:val="66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0"/>
    <w:next w:val="66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3"/>
    <w:link w:val="33"/>
    <w:uiPriority w:val="10"/>
    <w:rPr>
      <w:sz w:val="48"/>
      <w:szCs w:val="48"/>
    </w:rPr>
  </w:style>
  <w:style w:type="paragraph" w:styleId="35">
    <w:name w:val="Subtitle"/>
    <w:basedOn w:val="660"/>
    <w:next w:val="66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3"/>
    <w:link w:val="35"/>
    <w:uiPriority w:val="11"/>
    <w:rPr>
      <w:sz w:val="24"/>
      <w:szCs w:val="24"/>
    </w:rPr>
  </w:style>
  <w:style w:type="paragraph" w:styleId="37">
    <w:name w:val="Quote"/>
    <w:basedOn w:val="660"/>
    <w:next w:val="66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0"/>
    <w:next w:val="66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3"/>
    <w:link w:val="668"/>
    <w:uiPriority w:val="99"/>
  </w:style>
  <w:style w:type="character" w:styleId="44">
    <w:name w:val="Footer Char"/>
    <w:basedOn w:val="663"/>
    <w:link w:val="670"/>
    <w:uiPriority w:val="99"/>
  </w:style>
  <w:style w:type="paragraph" w:styleId="45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0"/>
    <w:uiPriority w:val="99"/>
  </w:style>
  <w:style w:type="table" w:styleId="47">
    <w:name w:val="Table Grid"/>
    <w:basedOn w:val="6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3"/>
    <w:uiPriority w:val="99"/>
    <w:unhideWhenUsed/>
    <w:rPr>
      <w:vertAlign w:val="superscript"/>
    </w:rPr>
  </w:style>
  <w:style w:type="paragraph" w:styleId="177">
    <w:name w:val="endnote text"/>
    <w:basedOn w:val="66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3"/>
    <w:uiPriority w:val="99"/>
    <w:semiHidden/>
    <w:unhideWhenUsed/>
    <w:rPr>
      <w:vertAlign w:val="superscript"/>
    </w:rPr>
  </w:style>
  <w:style w:type="paragraph" w:styleId="180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paragraph" w:styleId="661">
    <w:name w:val="Heading 1"/>
    <w:basedOn w:val="660"/>
    <w:link w:val="672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62">
    <w:name w:val="Heading 2"/>
    <w:basedOn w:val="660"/>
    <w:link w:val="67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List Paragraph"/>
    <w:basedOn w:val="660"/>
    <w:link w:val="66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67" w:customStyle="1">
    <w:name w:val="Абзац списка Знак"/>
    <w:basedOn w:val="663"/>
    <w:link w:val="666"/>
    <w:uiPriority w:val="34"/>
    <w:rPr>
      <w:rFonts w:ascii="Calibri" w:hAnsi="Calibri" w:eastAsia="Calibri" w:cs="Times New Roman"/>
    </w:rPr>
  </w:style>
  <w:style w:type="paragraph" w:styleId="668">
    <w:name w:val="Header"/>
    <w:basedOn w:val="660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63"/>
    <w:link w:val="668"/>
    <w:uiPriority w:val="99"/>
  </w:style>
  <w:style w:type="paragraph" w:styleId="670">
    <w:name w:val="Footer"/>
    <w:basedOn w:val="660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63"/>
    <w:link w:val="670"/>
    <w:uiPriority w:val="99"/>
  </w:style>
  <w:style w:type="character" w:styleId="672" w:customStyle="1">
    <w:name w:val="Заголовок 1 Знак"/>
    <w:basedOn w:val="663"/>
    <w:link w:val="661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73" w:customStyle="1">
    <w:name w:val="Заголовок 2 Знак"/>
    <w:basedOn w:val="663"/>
    <w:link w:val="66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Гайдаев</cp:lastModifiedBy>
  <cp:revision>18</cp:revision>
  <dcterms:created xsi:type="dcterms:W3CDTF">2023-01-11T11:48:00Z</dcterms:created>
  <dcterms:modified xsi:type="dcterms:W3CDTF">2023-02-28T09:30:54Z</dcterms:modified>
</cp:coreProperties>
</file>