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ИНСТРУКЦИЯ </w:t>
      </w: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ТЕХНИКЕ БЕЗОПАСНОСТИ И ОХРАНЕ ТРУДА</w:t>
      </w: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КОМПЕТЕНЦИИ</w:t>
      </w:r>
    </w:p>
    <w:p w:rsidR="004E48DE" w:rsidRDefault="00F5170D">
      <w:pPr>
        <w:jc w:val="center"/>
        <w:rPr>
          <w:color w:val="FF0000"/>
          <w:sz w:val="28"/>
          <w:szCs w:val="28"/>
          <w:u w:color="FF0000"/>
        </w:rPr>
      </w:pPr>
      <w:r>
        <w:rPr>
          <w:sz w:val="56"/>
          <w:szCs w:val="56"/>
        </w:rPr>
        <w:t>«Видеопроизводство»</w:t>
      </w:r>
    </w:p>
    <w:p w:rsidR="004E48DE" w:rsidRDefault="00F5170D">
      <w:pPr>
        <w:jc w:val="right"/>
      </w:pPr>
      <w:r>
        <w:rPr>
          <w:rFonts w:ascii="Arial Unicode MS" w:hAnsi="Arial Unicode MS"/>
        </w:rPr>
        <w:br w:type="page"/>
      </w:r>
    </w:p>
    <w:p w:rsidR="004E48DE" w:rsidRDefault="004E48DE"/>
    <w:p w:rsidR="004E48DE" w:rsidRDefault="004E48DE"/>
    <w:p w:rsidR="004E48DE" w:rsidRDefault="004E48DE"/>
    <w:p w:rsidR="004E48DE" w:rsidRDefault="004E48DE"/>
    <w:p w:rsidR="004E48DE" w:rsidRDefault="004E48DE"/>
    <w:p w:rsidR="004E48DE" w:rsidRDefault="004E48DE"/>
    <w:p w:rsidR="004E48DE" w:rsidRDefault="00F5170D">
      <w:pPr>
        <w:pStyle w:val="a6"/>
        <w:spacing w:before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4E48DE" w:rsidRDefault="004E48DE">
      <w:pPr>
        <w:spacing w:line="360" w:lineRule="auto"/>
      </w:pPr>
      <w:r>
        <w:fldChar w:fldCharType="begin"/>
      </w:r>
      <w:r w:rsidR="00F5170D">
        <w:instrText xml:space="preserve"> TOC \t "Заголовок 1, 1,Заголовок 2, 2"</w:instrText>
      </w:r>
      <w:r>
        <w:fldChar w:fldCharType="separate"/>
      </w:r>
    </w:p>
    <w:p w:rsidR="004E48DE" w:rsidRDefault="00F5170D">
      <w:pPr>
        <w:pStyle w:val="11"/>
      </w:pPr>
      <w:r>
        <w:rPr>
          <w:rFonts w:eastAsia="Arial Unicode MS" w:cs="Arial Unicode MS"/>
        </w:rPr>
        <w:t>Программа инструктажа по охране труда и технике безопасности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 \h </w:instrText>
      </w:r>
      <w:r w:rsidR="004E48DE">
        <w:fldChar w:fldCharType="separate"/>
      </w:r>
      <w:r>
        <w:rPr>
          <w:rFonts w:eastAsia="Arial Unicode MS" w:cs="Arial Unicode MS"/>
        </w:rPr>
        <w:t>3</w:t>
      </w:r>
      <w:r w:rsidR="004E48DE">
        <w:fldChar w:fldCharType="end"/>
      </w:r>
    </w:p>
    <w:p w:rsidR="004E48DE" w:rsidRDefault="00F5170D">
      <w:pPr>
        <w:pStyle w:val="21"/>
      </w:pPr>
      <w:r>
        <w:rPr>
          <w:rFonts w:eastAsia="Arial Unicode MS" w:cs="Arial Unicode MS"/>
        </w:rPr>
        <w:t>1.Общие требования охраны труда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_Toc1 \h </w:instrText>
      </w:r>
      <w:r w:rsidR="004E48DE">
        <w:fldChar w:fldCharType="separate"/>
      </w:r>
      <w:r>
        <w:rPr>
          <w:rFonts w:eastAsia="Arial Unicode MS" w:cs="Arial Unicode MS"/>
        </w:rPr>
        <w:t>4</w:t>
      </w:r>
      <w:r w:rsidR="004E48DE">
        <w:fldChar w:fldCharType="end"/>
      </w:r>
    </w:p>
    <w:p w:rsidR="004E48DE" w:rsidRDefault="00F5170D">
      <w:pPr>
        <w:pStyle w:val="21"/>
      </w:pPr>
      <w:r>
        <w:rPr>
          <w:rFonts w:eastAsia="Arial Unicode MS" w:cs="Arial Unicode MS"/>
        </w:rPr>
        <w:t>2.Требования охраны труда перед началом работы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_Toc2 \h </w:instrText>
      </w:r>
      <w:r w:rsidR="004E48DE">
        <w:fldChar w:fldCharType="separate"/>
      </w:r>
      <w:r>
        <w:rPr>
          <w:rFonts w:eastAsia="Arial Unicode MS" w:cs="Arial Unicode MS"/>
        </w:rPr>
        <w:t>6</w:t>
      </w:r>
      <w:r w:rsidR="004E48DE">
        <w:fldChar w:fldCharType="end"/>
      </w:r>
    </w:p>
    <w:p w:rsidR="004E48DE" w:rsidRDefault="00F5170D">
      <w:pPr>
        <w:pStyle w:val="21"/>
      </w:pPr>
      <w:r>
        <w:rPr>
          <w:rFonts w:eastAsia="Arial Unicode MS" w:cs="Arial Unicode MS"/>
        </w:rPr>
        <w:t>3.Требования охраны труда во время работы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_Toc3 \h </w:instrText>
      </w:r>
      <w:r w:rsidR="004E48DE">
        <w:fldChar w:fldCharType="separate"/>
      </w:r>
      <w:r>
        <w:rPr>
          <w:rFonts w:eastAsia="Arial Unicode MS" w:cs="Arial Unicode MS"/>
        </w:rPr>
        <w:t>7</w:t>
      </w:r>
      <w:r w:rsidR="004E48DE">
        <w:fldChar w:fldCharType="end"/>
      </w:r>
    </w:p>
    <w:p w:rsidR="004E48DE" w:rsidRDefault="00F5170D">
      <w:pPr>
        <w:pStyle w:val="21"/>
      </w:pPr>
      <w:r>
        <w:rPr>
          <w:rFonts w:eastAsia="Arial Unicode MS" w:cs="Arial Unicode MS"/>
        </w:rPr>
        <w:t>4. Требования охраны труда в аварийных ситуациях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_Toc4 \h </w:instrText>
      </w:r>
      <w:r w:rsidR="004E48DE">
        <w:fldChar w:fldCharType="separate"/>
      </w:r>
      <w:r>
        <w:rPr>
          <w:rFonts w:eastAsia="Arial Unicode MS" w:cs="Arial Unicode MS"/>
        </w:rPr>
        <w:t>8</w:t>
      </w:r>
      <w:r w:rsidR="004E48DE">
        <w:fldChar w:fldCharType="end"/>
      </w:r>
    </w:p>
    <w:p w:rsidR="004E48DE" w:rsidRDefault="00F5170D">
      <w:pPr>
        <w:pStyle w:val="21"/>
      </w:pPr>
      <w:r>
        <w:rPr>
          <w:rFonts w:eastAsia="Arial Unicode MS" w:cs="Arial Unicode MS"/>
        </w:rPr>
        <w:t>5.Требование охраны труда по окончании работ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_Toc5 \h </w:instrText>
      </w:r>
      <w:r w:rsidR="004E48DE">
        <w:fldChar w:fldCharType="separate"/>
      </w:r>
      <w:r>
        <w:rPr>
          <w:rFonts w:eastAsia="Arial Unicode MS" w:cs="Arial Unicode MS"/>
        </w:rPr>
        <w:t>9</w:t>
      </w:r>
      <w:r w:rsidR="004E48DE">
        <w:fldChar w:fldCharType="end"/>
      </w:r>
    </w:p>
    <w:p w:rsidR="004E48DE" w:rsidRDefault="004E48DE">
      <w:pPr>
        <w:spacing w:line="360" w:lineRule="auto"/>
      </w:pPr>
      <w:r>
        <w:fldChar w:fldCharType="end"/>
      </w:r>
    </w:p>
    <w:p w:rsidR="004E48DE" w:rsidRDefault="004E48DE"/>
    <w:p w:rsidR="004E48DE" w:rsidRDefault="00F5170D">
      <w:pPr>
        <w:pStyle w:val="1"/>
        <w:spacing w:before="120" w:after="120" w:line="240" w:lineRule="auto"/>
        <w:ind w:firstLine="709"/>
      </w:pPr>
      <w:r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 w:type="page"/>
      </w:r>
    </w:p>
    <w:p w:rsidR="004E48DE" w:rsidRDefault="00F5170D">
      <w:pPr>
        <w:pStyle w:val="1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"/>
      <w:r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 Время начала и окончания проведения конкурсных заданий, нахождение посторонних лиц на площадке.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6. Основные требования санитарии и личной гигиены.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7. Средства индивидуальной и коллективной защиты, необходимость их использования.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8. Порядок действий при плохом самочувствии или получении травмы. Правила оказания первой помощи.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</w:pPr>
      <w:r>
        <w:rPr>
          <w:rFonts w:ascii="Arial Unicode MS" w:hAnsi="Arial Unicode MS"/>
          <w:smallCaps/>
          <w:color w:val="2C8DE6"/>
          <w:u w:color="2C8DE6"/>
        </w:rPr>
        <w:br w:type="page"/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smallCaps/>
          <w:color w:val="2C8DE6"/>
          <w:u w:color="2C8DE6"/>
        </w:rPr>
      </w:pPr>
      <w:r>
        <w:rPr>
          <w:b/>
          <w:bCs/>
          <w:smallCaps/>
          <w:color w:val="2C8DE6"/>
          <w:u w:color="2C8DE6"/>
        </w:rPr>
        <w:lastRenderedPageBreak/>
        <w:t xml:space="preserve">Инструкция по охране труда для участников 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1" w:name="_Toc1"/>
      <w:r>
        <w:rPr>
          <w:rFonts w:ascii="Times New Roman" w:hAnsi="Times New Roman"/>
          <w:i w:val="0"/>
          <w:iCs w:val="0"/>
          <w:sz w:val="24"/>
          <w:szCs w:val="24"/>
        </w:rPr>
        <w:t>1.Общие требования охраны труда</w:t>
      </w:r>
      <w:bookmarkEnd w:id="1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Для участников до 14 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1.1. К участию в конкурсе, под наблюдением Экспертов, Компетенции «Видеопроизводство»   допускаются участники в возрасте до 14 лет: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ознакомленные с инструкцией по охране труда;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имеющие противопоказаний к выполнению конкурсных заданий по состоянию здоровья.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Для участников от 14 до 16 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1.2. К участию в конкурсе, под наблюдением Экспертов Компетенции «Видеопроизводство»   допускаются участники в возрасте от 14 до 16 лет: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ознакомленные с инструкцией по охране труда;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имеющие противопоказаний к выполнению конкурсных заданий по состоянию здоровья.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Для участников старше 16 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1.3. К самостоятельному выполнению конкурсных заданий в Компетенции «Видеопроизводство»   допускаются участники не моложе 16 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ознакомленные с инструкцией по охране труда;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имеющие противопоказаний к выполнению конкурсных заданий по состоянию здоровья.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1.4.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инструкции по охране труда и технике безопасности;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заходить за ограждения и в технические помещения;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соблюдать личную гигиену;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принимать пищу в строго отведенных местах;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самостоятельно использовать инструмент и оборудование, разрешенное к выполнению конкурсного задания;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1.5. Участник для выполнения конкурсного задания использует оборудование: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8"/>
        <w:gridCol w:w="6237"/>
      </w:tblGrid>
      <w:tr w:rsidR="004E48DE">
        <w:trPr>
          <w:trHeight w:val="261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оборудования</w:t>
            </w:r>
          </w:p>
        </w:tc>
      </w:tr>
      <w:tr w:rsidR="004E48DE">
        <w:trPr>
          <w:trHeight w:val="519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lastRenderedPageBreak/>
              <w:t>использует самостоятельно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Персональный компьютер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Цифровая кинокамера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Фотоаппарат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Осветительные приборы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1.6. При выполнении конкурсного задания на участника могут воздействовать следующие вредные и (или) опасные факторы: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Физические: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перемещение оборудования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электрический ток при неисправности или отсутствии заземляющих устройств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повышенный уровень шума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Психологические: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чрезмерное напряжение внимания, усиленная нагрузка на зрение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незнакомое пространство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1.7. Применяемые во время выполнения конкурсного задания средства индивидуальной защиты: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головной убор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1.8. Знаки безопасности, используемые на рабочем месте, для обозначения присутствующих опасностей:</w:t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val="single" w:color="000000"/>
        </w:rPr>
        <w:t xml:space="preserve"> F 04 Огнетушитель</w:t>
      </w:r>
      <w:r>
        <w:rPr>
          <w:rFonts w:ascii="Times New Roman" w:hAnsi="Times New Roman"/>
          <w:u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457200" cy="438150"/>
            <wp:effectExtent l="0" t="0" r="0" b="0"/>
            <wp:docPr id="1073741825" name="officeArt object" descr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2" descr="Рисунок 1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> E 22 Указатель выхода</w:t>
      </w:r>
      <w:r>
        <w:rPr>
          <w:rFonts w:ascii="Times New Roman" w:hAnsi="Times New Roman"/>
          <w:u w:color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762000" cy="400050"/>
            <wp:effectExtent l="0" t="0" r="0" b="0"/>
            <wp:docPr id="1073741826" name="officeArt object" descr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0" descr="Рисунок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>E 23 Указатель запасного выхода</w:t>
      </w:r>
      <w:r>
        <w:rPr>
          <w:rFonts w:ascii="Times New Roman" w:hAnsi="Times New Roman"/>
          <w:u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809625" cy="438150"/>
            <wp:effectExtent l="0" t="0" r="0" b="0"/>
            <wp:docPr id="1073741827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>EC 01 Аптечка первой медицинской помощи</w:t>
      </w:r>
      <w:r>
        <w:rPr>
          <w:rFonts w:ascii="Times New Roman" w:hAnsi="Times New Roman"/>
          <w:u w:color="000000"/>
        </w:rPr>
        <w:t xml:space="preserve">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476250" cy="457200"/>
            <wp:effectExtent l="0" t="0" r="0" b="0"/>
            <wp:docPr id="1073741828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1.10. Участники, допустившие невыполнение или нарушение инструкции по охране труда, привлекаются к ответственности в соответствии с Регламентом  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2" w:name="_Toc2"/>
      <w:r>
        <w:rPr>
          <w:rFonts w:ascii="Times New Roman" w:hAnsi="Times New Roman"/>
          <w:i w:val="0"/>
          <w:iCs w:val="0"/>
          <w:sz w:val="24"/>
          <w:szCs w:val="24"/>
        </w:rPr>
        <w:t>2.Требования охраны труда перед началом работы</w:t>
      </w:r>
      <w:bookmarkEnd w:id="2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Перед началом работы участники должны выполнить следующее: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 Подготовить рабочее место: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проверить работу оборудования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проверить работу персонального компьютера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ознакомится с рабочей зоной конкурсной площадки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2.3. Подготовить инструмент и оборудование, разрешенное к самостоятельной работе: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530"/>
        <w:gridCol w:w="6665"/>
      </w:tblGrid>
      <w:tr w:rsidR="004E48DE">
        <w:trPr>
          <w:trHeight w:val="519"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инструмента или оборудования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Правила подготовки к выполнению конкурсного задания</w:t>
            </w:r>
          </w:p>
        </w:tc>
      </w:tr>
      <w:tr w:rsidR="004E48DE">
        <w:tblPrEx>
          <w:shd w:val="clear" w:color="auto" w:fill="CED7E7"/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Проверка работоспособности персонального компьютера и разрешенного ПО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повреждений/неисправностей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Включить компьютер, дождаться загрузки ОС.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проверку работоспособности ПО на тестовом проекте.</w:t>
            </w:r>
          </w:p>
        </w:tc>
      </w:tr>
      <w:tr w:rsidR="004E48DE">
        <w:tblPrEx>
          <w:shd w:val="clear" w:color="auto" w:fill="CED7E7"/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Проверка работы камеры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повреждений/неисправностей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тестовую запись на камеру, перенести файлы тестовой записи на компьютер, проверить уровень заряда аккумулятора.</w:t>
            </w:r>
          </w:p>
        </w:tc>
      </w:tr>
      <w:tr w:rsidR="004E48DE">
        <w:tblPrEx>
          <w:shd w:val="clear" w:color="auto" w:fill="CED7E7"/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lastRenderedPageBreak/>
              <w:t>Осветительные приборы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повреждений/неисправностей, проверить целостность проводов,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Проверить работоспособность: включив осветительные прибор, проверить уровень заряда аккумулятора.</w:t>
            </w:r>
          </w:p>
        </w:tc>
      </w:tr>
      <w:tr w:rsidR="004E48DE">
        <w:tblPrEx>
          <w:shd w:val="clear" w:color="auto" w:fill="CED7E7"/>
        </w:tblPrEx>
        <w:trPr>
          <w:trHeight w:val="51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тестовую запись, перенести файлы тестовой записи на компьютер.</w:t>
            </w:r>
          </w:p>
        </w:tc>
      </w:tr>
      <w:tr w:rsidR="004E48DE">
        <w:tblPrEx>
          <w:shd w:val="clear" w:color="auto" w:fill="CED7E7"/>
        </w:tblPrEx>
        <w:trPr>
          <w:trHeight w:val="64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Проверить на механические повреждения и плавность передвижения каретки.</w:t>
            </w:r>
          </w:p>
        </w:tc>
      </w:tr>
      <w:tr w:rsidR="004E48DE">
        <w:tblPrEx>
          <w:shd w:val="clear" w:color="auto" w:fill="CED7E7"/>
        </w:tblPrEx>
        <w:trPr>
          <w:trHeight w:val="51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Проверить на механические повреждения и плавность работы всех частей, проверить уровень заряда аккумулятора.</w:t>
            </w:r>
          </w:p>
        </w:tc>
      </w:tr>
      <w:tr w:rsidR="004E48DE">
        <w:tblPrEx>
          <w:shd w:val="clear" w:color="auto" w:fill="CED7E7"/>
        </w:tblPrEx>
        <w:trPr>
          <w:trHeight w:val="32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2.5. Ежедневно, перед началом выполнения конкурсного задания, в процессе подготовки рабочего места: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осмотреть и привести в порядок рабочее место, средства индивидуальной защиты;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убедиться в достаточности освещенности;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проверить (визуально) правильность подключения инструмента и оборудования в электросеть;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3" w:name="_Toc3"/>
      <w:r>
        <w:rPr>
          <w:rFonts w:ascii="Times New Roman" w:hAnsi="Times New Roman"/>
          <w:i w:val="0"/>
          <w:iCs w:val="0"/>
          <w:sz w:val="24"/>
          <w:szCs w:val="24"/>
        </w:rPr>
        <w:t>3.Требования охраны труда во время работы</w:t>
      </w:r>
      <w:bookmarkEnd w:id="3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57"/>
        <w:gridCol w:w="8038"/>
      </w:tblGrid>
      <w:tr w:rsidR="004E48DE">
        <w:trPr>
          <w:trHeight w:val="777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инструмента/ оборудования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Требования безопасности</w:t>
            </w:r>
          </w:p>
        </w:tc>
      </w:tr>
      <w:tr w:rsidR="004E48DE">
        <w:tblPrEx>
          <w:shd w:val="clear" w:color="auto" w:fill="CED7E7"/>
        </w:tblPrEx>
        <w:trPr>
          <w:trHeight w:val="103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lastRenderedPageBreak/>
              <w:t>Персональный компьютер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Запрещено перемещать корпус моноблока.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Запрещено делать попытки разобрать корпус моноблока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Запрещено выполнять подключения периферийных устройств в несовместимые разъемы, расположенные на корпусе моноблока</w:t>
            </w:r>
          </w:p>
        </w:tc>
      </w:tr>
      <w:tr w:rsidR="004E48DE">
        <w:tblPrEx>
          <w:shd w:val="clear" w:color="auto" w:fill="CED7E7"/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Камера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осадках. Подключать иные устройства и аккумуляторы. Не класть камеру на землю, пол и т.д и т.п.</w:t>
            </w:r>
          </w:p>
        </w:tc>
      </w:tr>
      <w:tr w:rsidR="004E48DE">
        <w:tblPrEx>
          <w:shd w:val="clear" w:color="auto" w:fill="CED7E7"/>
        </w:tblPrEx>
        <w:trPr>
          <w:trHeight w:val="77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Осветительные приборы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осадках. Переносит во включенном состоянии. Не класть приборы на землю, пол и т.д и т.п. При значительном нагреве осветительного прибора использовать защитные перчатки.</w:t>
            </w:r>
          </w:p>
        </w:tc>
      </w:tr>
      <w:tr w:rsidR="004E48DE">
        <w:tblPrEx>
          <w:shd w:val="clear" w:color="auto" w:fill="CED7E7"/>
        </w:tblPrEx>
        <w:trPr>
          <w:trHeight w:val="77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осадках. Не класть приборы на землю, пол и т.д и т.п. Запрещено выполнять подключения периферийных устройств в несовместимые разъемы.</w:t>
            </w:r>
          </w:p>
        </w:tc>
      </w:tr>
      <w:tr w:rsidR="004E48DE">
        <w:tblPrEx>
          <w:shd w:val="clear" w:color="auto" w:fill="CED7E7"/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 xml:space="preserve">Запрещено устанавливать оборудование вес, превышающий паспортные характеристики. </w:t>
            </w:r>
          </w:p>
        </w:tc>
      </w:tr>
      <w:tr w:rsidR="004E48DE">
        <w:tblPrEx>
          <w:shd w:val="clear" w:color="auto" w:fill="CED7E7"/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 xml:space="preserve">Запрещено устанавливать оборудование вес, превышающий паспортные характеристики. </w:t>
            </w:r>
          </w:p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3.2. При выполнении конкурсных заданий и уборке рабочих мест: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соблюдать настоящую инструкцию;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соблюдать правила эксплуатации оборудования не подвергать их механическим ударам, не допускать падений;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поддерживать порядок и чистоту на рабочем месте;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оборудование располагать таким образом, чтобы исключалась возможность его скатывания и падения;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выполнять конкурсные задания только исправным оборудованием.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4" w:name="_Toc4"/>
      <w:r>
        <w:rPr>
          <w:rFonts w:ascii="Times New Roman" w:hAnsi="Times New Roman"/>
          <w:i w:val="0"/>
          <w:iCs w:val="0"/>
          <w:sz w:val="24"/>
          <w:szCs w:val="24"/>
        </w:rPr>
        <w:t>4. Требования охраны труда в аварийных ситуациях</w:t>
      </w:r>
      <w:bookmarkEnd w:id="4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5" w:name="_Toc5"/>
      <w:r>
        <w:rPr>
          <w:rFonts w:ascii="Times New Roman" w:hAnsi="Times New Roman"/>
          <w:i w:val="0"/>
          <w:iCs w:val="0"/>
          <w:sz w:val="24"/>
          <w:szCs w:val="24"/>
        </w:rPr>
        <w:t>5.Требование охраны труда по окончании работ</w:t>
      </w:r>
      <w:bookmarkEnd w:id="5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После окончания работ каждый участник обязан: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5.1. Привести в порядок рабочее место.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5.2. Убрать средства индивидуальной защиты в отведенное для хранений место.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5.3. Отключить оборудование от сети.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5.4. Оборудование убрать в специально предназначенное для хранений место.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</w:pPr>
      <w:r>
        <w:rPr>
          <w:rFonts w:ascii="Arial Unicode MS" w:hAnsi="Arial Unicode MS"/>
          <w:smallCaps/>
          <w:color w:val="2C8DE6"/>
          <w:u w:color="2C8DE6"/>
        </w:rPr>
        <w:br w:type="page"/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smallCaps/>
        </w:rPr>
      </w:pPr>
      <w:r>
        <w:rPr>
          <w:b/>
          <w:bCs/>
          <w:smallCaps/>
        </w:rPr>
        <w:lastRenderedPageBreak/>
        <w:t>Инструкция по охране труда для экспертов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1.Общие требования охраны труда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1.1. К работе в качестве эксперта Компетенции «</w:t>
      </w:r>
      <w:r>
        <w:rPr>
          <w:rFonts w:ascii="Times New Roman" w:hAnsi="Times New Roman"/>
          <w:u w:color="000000"/>
          <w:lang w:val="en-US"/>
        </w:rPr>
        <w:t>R</w:t>
      </w:r>
      <w:r>
        <w:rPr>
          <w:rFonts w:ascii="Times New Roman" w:hAnsi="Times New Roman"/>
          <w:u w:color="000000"/>
        </w:rPr>
        <w:t>60 Видеопроизводство» допускаются Эксперты, прошедшие специальное обучение и не имеющие противопоказаний по состоянию здоровья.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1.3. В процессе контроля выполнения конкурсных заданий и нахождения на площадке соревнований Эксперт обязан четко соблюдать: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инструкции по охране труда и технике безопасности;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расписание и график проведения конкурсного задания, установленные режимы труда и отдыха.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электрический ток;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шум, обусловленный конструкцией оргтехники;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химические вещества, выделяющиеся при работе оргтехники;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зрительное перенапряжение при работе с ПК.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Физические: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-погодные условия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электрический ток при неисправности или отсутствии заземляющих устройств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повышенный уровень шума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Психологические: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чрезмерное напряжение внимания, усиленная нагрузка на зрение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незнакомая местность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1.5. Применяемые во время выполнения конкурсного задания средства индивидуальной защиты: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предусмотрено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1.6. Знаки безопасности, используемые на рабочих местах экспертов, для обозначения присутствующих опасностей:</w:t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>-</w:t>
      </w:r>
      <w:r>
        <w:rPr>
          <w:u w:val="single"/>
        </w:rPr>
        <w:t xml:space="preserve"> F 04 Огнетушитель</w:t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57200" cy="438150"/>
            <wp:effectExtent l="0" t="0" r="0" b="0"/>
            <wp:docPr id="1073741829" name="officeArt object" descr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7" descr="Рисунок 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 xml:space="preserve">- </w:t>
      </w:r>
      <w:r>
        <w:rPr>
          <w:u w:val="single"/>
        </w:rPr>
        <w:t> E 22 Указатель выхода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62000" cy="400050"/>
            <wp:effectExtent l="0" t="0" r="0" b="0"/>
            <wp:docPr id="1073741830" name="officeArt object" descr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6" descr="Рисунок 1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lastRenderedPageBreak/>
        <w:t xml:space="preserve">- </w:t>
      </w:r>
      <w:r>
        <w:rPr>
          <w:u w:val="single"/>
        </w:rPr>
        <w:t>E 23 Указатель запасного выхода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809625" cy="438150"/>
            <wp:effectExtent l="0" t="0" r="0" b="0"/>
            <wp:docPr id="1073741831" name="officeArt object" descr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15" descr="Рисунок 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 xml:space="preserve">- </w:t>
      </w:r>
      <w:r>
        <w:rPr>
          <w:u w:val="single"/>
        </w:rPr>
        <w:t>EC 01 Аптечка первой медицинской помощи</w:t>
      </w:r>
      <w:r>
        <w:t xml:space="preserve">    </w:t>
      </w:r>
      <w:r>
        <w:rPr>
          <w:noProof/>
        </w:rPr>
        <w:drawing>
          <wp:inline distT="0" distB="0" distL="0" distR="0">
            <wp:extent cx="476250" cy="457200"/>
            <wp:effectExtent l="0" t="0" r="0" b="0"/>
            <wp:docPr id="1073741832" name="officeArt object" descr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4" descr="Рисунок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помещении Экспертов Компетенции «Видеопроизводство»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C15A87">
        <w:rPr>
          <w:rFonts w:ascii="Times New Roman" w:hAnsi="Times New Roman"/>
          <w:u w:color="000000"/>
        </w:rPr>
        <w:t>Положением о Всероссийском чемпионатом движении</w:t>
      </w:r>
      <w:r>
        <w:rPr>
          <w:rFonts w:ascii="Times New Roman" w:hAnsi="Times New Roman"/>
          <w:u w:color="000000"/>
        </w:rPr>
        <w:t>, а при необходимости согласно действующему законодательству.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2.Требования охраны труда перед началом работы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Перед началом работы Эксперты должны выполнить следующее: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2.1. </w:t>
      </w:r>
      <w:r w:rsidR="00C15A87">
        <w:rPr>
          <w:rFonts w:ascii="Times New Roman" w:hAnsi="Times New Roman"/>
          <w:u w:color="000000"/>
        </w:rPr>
        <w:t xml:space="preserve">Накануне чемпионата </w:t>
      </w:r>
      <w:r>
        <w:rPr>
          <w:rFonts w:ascii="Times New Roman" w:hAnsi="Times New Roman"/>
          <w:u w:color="000000"/>
        </w:rPr>
        <w:t xml:space="preserve">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C15A87">
        <w:rPr>
          <w:rFonts w:ascii="Times New Roman" w:hAnsi="Times New Roman"/>
          <w:u w:color="000000"/>
        </w:rPr>
        <w:t xml:space="preserve">Конкурсным задание и инфраструктурным листом </w:t>
      </w:r>
      <w:r>
        <w:rPr>
          <w:rFonts w:ascii="Times New Roman" w:hAnsi="Times New Roman"/>
          <w:u w:color="000000"/>
        </w:rPr>
        <w:t xml:space="preserve"> компетенции.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2.3. Ежедневно, перед началом работ на конкурсной площадке и в помещении экспертов необходимо: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осмотреть рабочие места экспертов и участников;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-привести в порядок рабочее место эксперта;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-проверить правильность подключения оборудования в электросеть;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одеть необходимые средства индивидуальной защиты;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lastRenderedPageBreak/>
        <w:t>3.Требования охраны труда во время работы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3.4. Во избежание поражения током запрещается: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производить самостоятельно вскрытие и ремонт оборудования;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переключать разъемы интерфейсных кабелей периферийных устройств при включенном питании;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загромождать верхние панели устройств бумагами и посторонними предметами;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3.6. Эксперту во время работы с оргтехникой: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обращать внимание на символы, высвечивающиеся на панели оборудования, не игнорировать их;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производить включение/выключение аппаратов мокрыми руками;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ставить на устройство емкости с водой, не класть металлические предметы;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эксплуатировать аппарат, если он перегрелся, стал дымиться, появился посторонний запах или звук;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не эксплуатировать аппарат, если его уронили или корпус был поврежден;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вынимать застрявшие листы можно только после отключения устройства из сети;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-запрещается перемещать аппараты включенными в сеть;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все работы по замене картриджей, бумаги можно производить только после отключения аппарата от сети;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запрещается опираться на стекло оригиналодержателя, класть на него какие-либо вещи помимо оригинала;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- запрещается работать на аппарате с треснувшим стеклом;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обязательно мыть руки теплой водой с мылом после каждой чистки картриджей, узлов и т.д.;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просыпанный тонер, носитель немедленно собрать пылесосом или влажной ветошью.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3.8. Запрещается: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устанавливать неизвестные системы паролирования и самостоятельно проводить переформатирование диска;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иметь при себе любые средства связи;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пользоваться любой документацией кроме предусмотренной конкурсным заданием.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3.10. При наблюдении за выполнением конкурсного задания участниками Эксперту: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одеть необходимые средства индивидуальной защиты;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передвигаться по конкурсной площадке не спеша, не делая резких движений, смотря под ноги;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 соблюдать технику безопасности при работе с геодезическим оборудованием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4. Требования охраны труда в аварийных ситуациях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5.Требование охраны труда по окончании работ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После окончания конкурсного дня Эксперт обязан: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5.1. Отключить электрические приборы, оборудование, инструмент и устройства от источника питания.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5.2. Привести в порядок рабочее место Эксперта и проверить рабочие места участников.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</w:pPr>
      <w:r>
        <w:rPr>
          <w:rFonts w:ascii="Times New Roman" w:hAnsi="Times New Roman"/>
          <w:u w:color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4E48DE" w:rsidSect="004E4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E4A" w:rsidRDefault="00055E4A" w:rsidP="004E48DE">
      <w:r>
        <w:separator/>
      </w:r>
    </w:p>
  </w:endnote>
  <w:endnote w:type="continuationSeparator" w:id="0">
    <w:p w:rsidR="00055E4A" w:rsidRDefault="00055E4A" w:rsidP="004E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8DE" w:rsidRDefault="004E48DE">
    <w:pPr>
      <w:pStyle w:val="a5"/>
      <w:jc w:val="right"/>
    </w:pPr>
    <w:r>
      <w:fldChar w:fldCharType="begin"/>
    </w:r>
    <w:r w:rsidR="00F5170D">
      <w:instrText xml:space="preserve"> PAGE </w:instrText>
    </w:r>
    <w:r>
      <w:fldChar w:fldCharType="separate"/>
    </w:r>
    <w:r w:rsidR="00C15A87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8DE" w:rsidRDefault="004E48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E4A" w:rsidRDefault="00055E4A" w:rsidP="004E48DE">
      <w:r>
        <w:separator/>
      </w:r>
    </w:p>
  </w:footnote>
  <w:footnote w:type="continuationSeparator" w:id="0">
    <w:p w:rsidR="00055E4A" w:rsidRDefault="00055E4A" w:rsidP="004E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8DE" w:rsidRDefault="004E48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8DE" w:rsidRDefault="004E4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DE"/>
    <w:rsid w:val="00055E4A"/>
    <w:rsid w:val="004E48DE"/>
    <w:rsid w:val="00970F59"/>
    <w:rsid w:val="00C15A87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1F35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48DE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4E48DE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">
    <w:name w:val="heading 2"/>
    <w:next w:val="a"/>
    <w:rsid w:val="004E48DE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8DE"/>
    <w:rPr>
      <w:u w:val="single"/>
    </w:rPr>
  </w:style>
  <w:style w:type="table" w:customStyle="1" w:styleId="TableNormal">
    <w:name w:val="Table Normal"/>
    <w:rsid w:val="004E4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E48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4E48DE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TOC Heading"/>
    <w:next w:val="a"/>
    <w:rsid w:val="004E48DE"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customStyle="1" w:styleId="11">
    <w:name w:val="Оглавление 11"/>
    <w:rsid w:val="004E48DE"/>
    <w:pPr>
      <w:tabs>
        <w:tab w:val="right" w:leader="dot" w:pos="9895"/>
      </w:tabs>
      <w:spacing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21">
    <w:name w:val="Оглавление 21"/>
    <w:rsid w:val="004E48DE"/>
    <w:pPr>
      <w:tabs>
        <w:tab w:val="right" w:leader="dot" w:pos="9895"/>
      </w:tabs>
      <w:spacing w:line="360" w:lineRule="auto"/>
      <w:ind w:left="567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ody Text"/>
    <w:rsid w:val="004E48D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5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A8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3945</Words>
  <Characters>22487</Characters>
  <Application>Microsoft Office Word</Application>
  <DocSecurity>0</DocSecurity>
  <Lines>187</Lines>
  <Paragraphs>52</Paragraphs>
  <ScaleCrop>false</ScaleCrop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2023-02-20T15:19:00Z</dcterms:created>
  <dcterms:modified xsi:type="dcterms:W3CDTF">2023-02-21T07:59:00Z</dcterms:modified>
</cp:coreProperties>
</file>