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ЛАЗЕРНЫЕ ТЕХНОЛОГИИ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43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43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97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795"/>
        <w:rPr>
          <w:rFonts w:asciiTheme="minorHAnsi" w:hAnsiTheme="minorHAnsi" w:eastAsiaTheme="minorEastAsia" w:cstheme="minorBidi"/>
          <w:sz w:val="22"/>
          <w:szCs w:val="22"/>
          <w:lang w:val="ru-RU" w:eastAsia="ko-KR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7145076" w:anchor="_Toc127145076" w:history="1">
        <w:r>
          <w:rPr>
            <w:rStyle w:val="793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_Toc127145076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77" w:anchor="_Toc127145077" w:history="1">
        <w:r>
          <w:rPr>
            <w:rStyle w:val="793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_Toc127145077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78" w:anchor="_Toc127145078" w:history="1">
        <w:r>
          <w:rPr>
            <w:rStyle w:val="793"/>
          </w:rPr>
          <w:t xml:space="preserve">1.2. ПЕРЕЧЕНЬ ПРОФЕССИОНАЛЬНЫХ ЗАДАЧ СПЕЦИАЛИСТА ПО КОМПЕТЕНЦИИ «ЛАЗЕРНЫЕ ТЕХНОЛОГИИ»</w:t>
        </w:r>
        <w:r>
          <w:tab/>
        </w:r>
        <w:r>
          <w:fldChar w:fldCharType="begin"/>
        </w:r>
        <w:r>
          <w:instrText xml:space="preserve"> PAGEREF _Toc127145078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79" w:anchor="_Toc127145079" w:history="1">
        <w:r>
          <w:rPr>
            <w:rStyle w:val="793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_Toc127145079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80" w:anchor="_Toc127145080" w:history="1">
        <w:r>
          <w:rPr>
            <w:rStyle w:val="793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_Toc127145080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81" w:anchor="_Toc127145081" w:history="1">
        <w:r>
          <w:rPr>
            <w:rStyle w:val="793"/>
          </w:rPr>
          <w:t xml:space="preserve">1.5.2. Структура модулей конкурсного задания </w:t>
        </w:r>
        <w:r>
          <w:rPr>
            <w:rStyle w:val="793"/>
            <w:bCs/>
          </w:rPr>
          <w:t xml:space="preserve">(инвариант/вариатив)</w:t>
        </w:r>
        <w:r>
          <w:tab/>
        </w:r>
        <w:r>
          <w:fldChar w:fldCharType="begin"/>
        </w:r>
        <w:r>
          <w:instrText xml:space="preserve"> PAGEREF _Toc127145081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82" w:anchor="_Toc127145082" w:history="1">
        <w:r>
          <w:rPr>
            <w:rStyle w:val="793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_Toc127145082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820"/>
        <w:rPr>
          <w:rFonts w:asciiTheme="minorHAnsi" w:hAnsiTheme="minorHAnsi" w:eastAsiaTheme="minorEastAsia" w:cstheme="minorBidi"/>
          <w:szCs w:val="22"/>
          <w:lang w:eastAsia="ko-KR"/>
        </w:rPr>
      </w:pPr>
      <w:r/>
      <w:hyperlink w:tooltip="#_Toc127145083" w:anchor="_Toc127145083" w:history="1">
        <w:r>
          <w:rPr>
            <w:rStyle w:val="793"/>
          </w:rPr>
          <w:t xml:space="preserve">2.1. </w:t>
        </w:r>
        <w:r>
          <w:rPr>
            <w:rStyle w:val="793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_Toc127145083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795"/>
        <w:rPr>
          <w:rFonts w:asciiTheme="minorHAnsi" w:hAnsiTheme="minorHAnsi" w:eastAsiaTheme="minorEastAsia" w:cstheme="minorBidi"/>
          <w:sz w:val="22"/>
          <w:szCs w:val="22"/>
          <w:lang w:val="ru-RU" w:eastAsia="ko-KR"/>
        </w:rPr>
      </w:pPr>
      <w:r/>
      <w:hyperlink w:tooltip="#_Toc127145084" w:anchor="_Toc127145084" w:history="1">
        <w:r>
          <w:rPr>
            <w:rStyle w:val="793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_Toc127145084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797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79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CAD/CAM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Computer Assisted Design/Computer Aided Manufacturing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О2 – Диоксид углерода (активная среда лазерного излучателя)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DM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Data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Matrix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тип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матричного кода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QR -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Quick Response code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тип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матричного кода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ДС – Двухслойный пластик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ЛТ – Лазерные технологии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ОТ и ТБ – Охрана труда и техника безопасности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ПК – Персональный компьютер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ПМ – Подготовка макета (разработка ТМ)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ПР – Подбор режимов (наладка станка)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САПР – Система автоматизированного проектирования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CAD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СЛРГ – Система лазерной резки и гравировки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СЛС – Система лазерной сварки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СПЛМ – Система прецизионной лазерной маркировки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СПЛММЭТ - Система прецизионной лазерной микрообработки материалов электронной техники 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СПЛР – Система прецизионной лазерной резки 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Техническое задание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ТИ – техническое исполнение (работа за станком)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ТК – Технологическая карта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ТМ – Технологическая модель -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чертеж изделия без простановки размеров с цветовой настройкой линий в соответствии с процессами лазерной обработки </w:t>
      </w:r>
      <w:r/>
    </w:p>
    <w:p>
      <w:pPr>
        <w:pStyle w:val="797"/>
        <w:numPr>
          <w:ilvl w:val="0"/>
          <w:numId w:val="23"/>
        </w:numPr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ТП – Техническая пауза</w:t>
      </w:r>
      <w:r/>
    </w:p>
    <w:p>
      <w:pPr>
        <w:pStyle w:val="79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  <w:r/>
    </w:p>
    <w:p>
      <w:pPr>
        <w:pStyle w:val="79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22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7145076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23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7145077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ЛАЗЕРНЫЕ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64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714507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u w:val="single"/>
          <w:lang w:val="ru-RU"/>
        </w:rPr>
        <w:t xml:space="preserve">ЛАЗЕРНЫЕ ТЕХНОЛОГИИ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РЕГЛАМЕНТА РАБОТЫ СПЕЦИАЛИСТА ПО ЛАЗЕРНОЙ ОБРАБОТКЕ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знать и понимать: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Производственное задание, конструкторскую и производственно-технологическую документацию;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группы и марки материалов, подлежащих резке, их свойства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качеству реза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понятия о деформациях металлических и иных материалов при термической резке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Нормы и правила пожарной безопасности при проведении работ по термической резке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труда, в том числе на рабочем месте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обрабатываемых деталей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изделий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техники безопасности при работе с установками высокого напряжения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труда при эксплуатации лазерных установок.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безопасной наладки блоков и эксплуатации лазерной установки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методы контроля качества детали;</w:t>
            </w:r>
            <w:r/>
          </w:p>
          <w:p>
            <w:pPr>
              <w:pStyle w:val="832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брака и способы его предупреждения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уметь: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материала на наличие ржавчины, окалины, краски и других загрязнений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Зачистка поверхности материала под термическую резку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складирование вырезанных деталей и отходов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подготовку металлических и иных материалов под лазерную резку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нарушения режимов по внешнему виду реза и обрабатываемых поверхностей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управления установкой, в том числе с программным управлением, в соответствии с регламентом работы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нормативно-техническую документацию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замены объектива, насадки телескопа и других регламентных работ, не требующих дополнительной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подналадки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установки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предупреждать дефекты сварки, резки и гравировки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вести наблюдение за прохождением команд на пульте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пользоваться контрольно-измерительными приборами</w:t>
            </w:r>
            <w:r/>
          </w:p>
          <w:p>
            <w:pPr>
              <w:pStyle w:val="83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причины брака, разделять брак на исправимый и неисправимый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САПР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ТМ)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знать и понимать: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принципы и методы автоматизированного проектирования технических систем.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Допуски и посадки, квалитеты и параметры шероховатости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правила разработки, оформления и чтения конструкторской и технологической документации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приемы техники черчения, правила выполнения чертежей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машиностроительного черчения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ЕСКД и ЕСТД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выполнения и чтения конструкторской и технологической документации;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приемы работы с чертежом на персональном компьютере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и виды CAD и CAM систем, их возможности и принципы функционирования;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операций над 2D и 3D объектами, основы моделирования по сечениям и проекциям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состав, функции и возможности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технологий в машиностроении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технической механики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уметь: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разработки и компьютерного моделирования элементов с учетом специфики технологических процессов. Использовать системы автоматизированного проектирования технологических процессов обработки деталей. 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маршруты изготовления деталей и проектировать технологические операции.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автоматизации.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пакет технической и конструкторской документации на разработанную модель.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разрабатывать модели на основе выбранного программного обеспечения и технического задания;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измерительный инструмент для контроля полученных в результате резки деталей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чтения программ по распечатке работать с различными материалами, деталями, узлами, конструкциями, оборудованием;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производить подготовку установки для выполнения заданных операций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лазерную сварку различных соединений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чертежи изделий, механизмов и узлов используемого оборудования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оформлять технологическую и конструкторскую документацию в соответствии с технической документацией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создавать, редактировать и оформлять чертежи на персональном компьютере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оформлять конструкторскую и технологическую документацию посредством CAD и CAM систем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</w:t>
            </w:r>
            <w:r/>
          </w:p>
          <w:p>
            <w:pPr>
              <w:pStyle w:val="83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разрабатывать технологический процесс изготовления детали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ЛАЗЕРНОГО ОБОРУДОВАНИЯ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знать и понимать: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Свойства газов, применяемых при лазерной обработке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Технологическая оснастка для автоматической лазерной резки, ее область применения, устройство, правила эксплуатации и возможные неполадки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Оборудование, аппаратура, контрольно-измерительные приборы для автоматической лазерной резки, их область применения, устройство, правила эксплуатации и возможные неполадки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технической эксплуатации электроустановок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Конструкция оборудования для автоматической лазерной резки (электрические, кинематические схемы), причины возникновения неисправностей и способы их устранения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процесса лазерной сварки и другой технологической обработки на лазерных установках различного типа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и способы лазерной сварки технологию и методы выполнения различных операций на установках для лазерной сварки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формирования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сварного соединения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элементы оборудования для лазерной сварки устройство и основные правила управления установкой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виды проплавления и особенности их использования механизм формирования сварного соединения при сварке металлов с глубоким проплавлением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подготовки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изделий под сварку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слесарные операции при подготовке металла под сварку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правила эксплуатации лазерных установок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типы лазерного оборудования и оснастки, включая станки на базе СО2 и волоконного лазеров, станки лазерной сварки, резки, маркировки;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установки приспособлений и заготовок в зависимости от формы исходного материала.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должен уметь: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работоспособности и исправности автоматического оборудования и технологической оснастки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материала на технологической оснастке для выполнения резки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на оборудовании и аппаратуре параметров технологического процесса автоматической лазерной резки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автоматической лазерной резки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Оценивать работоспособность, исправность технологической оснастки и оборудования для автоматической лазерной резки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Выбирать порядок и направление вырезки деталей различной сложности в раскройном листе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Контролировать процесс автоматической лазерной резки и работу оборудования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настройки оборудования для автоматической лазерной резки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 и регулировка режимов автоматической лазерной резки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выполнения лазерной сварки, прошивки отверстий, резки, термообработки и другой технологической обработки деталей и изделий простой и средней сложности, деталей из различных материалов разной толщины;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монтаж деталей из разных сплавов в одно изделие; проводить ремонт и сборку полированных изделий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производить подготовку установки для выполнения заданных операций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лазерную сварку различных соединений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контурной обрезки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подготовки установки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выполнения заданных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операций: чистки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оптических элементов,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включения обслуживающих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Использования оптимальных режимов эксплуатации работы установки, электрической и функциональной схемы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производить расчет параметров режимов сварки; определять соответствие между мощностью лазера, длительностью импульса и частотой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следующие виды лазерных операций в зависимости от типа материала: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резка;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маркировка;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зачистка;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прошивка отверстий;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снятие покрытий;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структурирование поверхностей;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цветная маркировка;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прецизионная микрообработка;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объемная гравировка;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фотогравировка;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нанесение кодовой информации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сварка;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прецизионная лазерная резка и микрообработка;</w:t>
            </w:r>
            <w:r/>
          </w:p>
          <w:p>
            <w:pPr>
              <w:pStyle w:val="832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лазерный раскрой листовых материалов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64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7145079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80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0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02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802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794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53"/>
        <w:gridCol w:w="953"/>
        <w:gridCol w:w="953"/>
        <w:gridCol w:w="953"/>
        <w:gridCol w:w="953"/>
        <w:gridCol w:w="436"/>
        <w:gridCol w:w="2051"/>
      </w:tblGrid>
      <w:tr>
        <w:trPr>
          <w:jc w:val="center"/>
          <w:trHeight w:val="1538"/>
        </w:trPr>
        <w:tc>
          <w:tcPr>
            <w:gridSpan w:val="8"/>
            <w:shd w:val="clear" w:color="auto" w:fill="92d050"/>
            <w:tcW w:w="427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92d050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72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  <w:tc>
          <w:tcPr>
            <w:shd w:val="clear" w:color="auto" w:fill="92d050"/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15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722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72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1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72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723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W w:w="1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87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f2f2f2" w:themeFill="background1" w:themeFillShade="F2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f2f2f2" w:themeFill="background1" w:themeFillShade="F2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color="auto" w:fill="f2f2f2" w:themeFill="background1" w:themeFillShade="F2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f2f2f2" w:themeFill="background1" w:themeFillShade="F2"/>
            <w:tcW w:w="6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f2f2f2" w:themeFill="background1" w:themeFillShade="F2"/>
            <w:tcW w:w="1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f2f2f2" w:themeFill="background1" w:themeFillShade="F2"/>
            <w:tcW w:w="72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23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7145080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794"/>
        <w:tblW w:w="4766" w:type="pct"/>
        <w:tblLook w:val="04A0" w:firstRow="1" w:lastRow="0" w:firstColumn="1" w:lastColumn="0" w:noHBand="0" w:noVBand="1"/>
      </w:tblPr>
      <w:tblGrid>
        <w:gridCol w:w="543"/>
        <w:gridCol w:w="2572"/>
        <w:gridCol w:w="6063"/>
      </w:tblGrid>
      <w:tr>
        <w:trPr/>
        <w:tc>
          <w:tcPr>
            <w:gridSpan w:val="2"/>
            <w:shd w:val="clear" w:color="auto" w:fill="92d050"/>
            <w:tcW w:w="1696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304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/>
            <w:bookmarkStart w:id="9" w:name="_Hlk126950981"/>
            <w:r>
              <w:rPr>
                <w:b/>
                <w:bCs/>
                <w:sz w:val="24"/>
                <w:szCs w:val="24"/>
              </w:rPr>
              <w:t xml:space="preserve">Лазерная резка и гравировка пластиков</w:t>
            </w:r>
            <w:bookmarkEnd w:id="9"/>
            <w:r/>
            <w:r/>
          </w:p>
        </w:tc>
        <w:tc>
          <w:tcPr>
            <w:shd w:val="clear" w:color="auto" w:fill="auto"/>
            <w:tcW w:w="3304" w:type="pct"/>
            <w:vMerge w:val="restart"/>
            <w:textDirection w:val="lrTb"/>
            <w:noWrap w:val="false"/>
          </w:tcPr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Оценка соблюдения регламента специалиста по лазерной обработке.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Эргономика рабочего места.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Трудовая дисциплина.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ОТ и ТБ.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Использование дополнительных заготовок.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Наличие дефектов.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Оценка временных параметров и др.).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Проверка размеров изделий в соответствии с ТЗ.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Измерения. 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Проверка по эталонам.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Оценка используемых режимов лазерной обработки.</w:t>
            </w:r>
            <w:r/>
          </w:p>
          <w:p>
            <w:pPr>
              <w:pStyle w:val="832"/>
              <w:numPr>
                <w:ilvl w:val="0"/>
                <w:numId w:val="30"/>
              </w:numPr>
              <w:ind w:left="470" w:hanging="357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Оценка качества изготовленных изделий.</w:t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Лазерная маркировка промышленных и декоративных изделий</w:t>
            </w:r>
            <w:r/>
          </w:p>
        </w:tc>
        <w:tc>
          <w:tcPr>
            <w:shd w:val="clear" w:color="auto" w:fill="auto"/>
            <w:tcW w:w="3304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tabs>
                <w:tab w:val="left" w:pos="916" w:leader="none"/>
              </w:tabs>
              <w:rPr>
                <w:b/>
                <w:bCs/>
                <w:sz w:val="24"/>
                <w:szCs w:val="24"/>
              </w:rPr>
            </w:pPr>
            <w:r/>
            <w:bookmarkStart w:id="10" w:name="_Hlk126951038"/>
            <w:r>
              <w:rPr>
                <w:b/>
                <w:bCs/>
                <w:sz w:val="24"/>
                <w:szCs w:val="24"/>
              </w:rPr>
              <w:t xml:space="preserve">Изготовление штампов из резины</w:t>
            </w:r>
            <w:bookmarkEnd w:id="10"/>
            <w:r/>
            <w:r/>
          </w:p>
        </w:tc>
        <w:tc>
          <w:tcPr>
            <w:shd w:val="clear" w:color="auto" w:fill="auto"/>
            <w:tcW w:w="3304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Лазерная обработка элементов микроэлектроники</w:t>
            </w:r>
            <w:r/>
          </w:p>
        </w:tc>
        <w:tc>
          <w:tcPr>
            <w:shd w:val="clear" w:color="auto" w:fill="auto"/>
            <w:tcW w:w="3304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Лазерная резка металла (прецизионная)</w:t>
            </w:r>
            <w:r/>
          </w:p>
        </w:tc>
        <w:tc>
          <w:tcPr>
            <w:shd w:val="clear" w:color="auto" w:fill="auto"/>
            <w:tcW w:w="3304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00b050"/>
            <w:tcW w:w="296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401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Автоматизированная лазерная сварка</w:t>
            </w:r>
            <w:r/>
          </w:p>
        </w:tc>
        <w:tc>
          <w:tcPr>
            <w:shd w:val="clear" w:color="auto" w:fill="auto"/>
            <w:tcW w:w="3304" w:type="pct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Возрастной ценз: 14 лет и более.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W w:w="10202" w:type="dxa"/>
        <w:tblLook w:val="04A0" w:firstRow="1" w:lastRow="0" w:firstColumn="1" w:lastColumn="0" w:noHBand="0" w:noVBand="1"/>
      </w:tblPr>
      <w:tblGrid>
        <w:gridCol w:w="1803"/>
        <w:gridCol w:w="2161"/>
        <w:gridCol w:w="1535"/>
        <w:gridCol w:w="2017"/>
        <w:gridCol w:w="1177"/>
        <w:gridCol w:w="992"/>
        <w:gridCol w:w="517"/>
      </w:tblGrid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Обобщенная трудовая функция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Трудовая функция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Нормативный документ/ЗУН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Модуль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Константа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/вариатив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ИЛ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КО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  <w:tr>
        <w:trPr>
          <w:trHeight w:val="20"/>
        </w:trPr>
        <w:tc>
          <w:tcPr>
            <w:shd w:val="clear" w:color="000000" w:fill="e2efd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автоматической и роботизированной термической резки металлов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автоматической лазерной резки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12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Лазерная резка и гравировка пластиков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Константа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13" w:tooltip="file:///F:\FILE\DOC\1SEAGATE%201\1WORLDSKILLS\1ФИРПО\2023\Матрица%20ЛТ.xlsx#РАБОЧАЯ_ПЛОЩАДКА_КОНКУРСАНТОВ_М1" w:anchor="РАБОЧАЯ_ПЛОЩАДКА_КОНКУРСАНТОВ_М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1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14" w:tooltip="file:///F:\FILE\DOC\1SEAGATE%201\1WORLDSKILLS\1ФИРПО\2023\Матрица%20ЛТ.xlsx#КО1!A1" w:anchor="КО1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15</w:t>
              </w:r>
            </w:hyperlink>
            <w:r/>
            <w:r/>
          </w:p>
        </w:tc>
      </w:tr>
      <w:tr>
        <w:trPr>
          <w:trHeight w:val="20"/>
        </w:trPr>
        <w:tc>
          <w:tcPr>
            <w:shd w:val="clear" w:color="000000" w:fill="e2efd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 Выполнение работ при маркировании узлов, деталей и изделий с использованием полуавтоматов, автоматов с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числовым программным управлением и лазерных установок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  <w:t xml:space="preserve">Настройка и регулирование маркировочных установок с числовым программным управлением и лазерного оборудования при выполнении работ по маркированию.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  <w:br/>
              <w:t xml:space="preserve">Маркирование и клеймение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  <w:t xml:space="preserve">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15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40.183;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Б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Лазерная маркировка промышленных и декоративных изделий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Константа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16" w:tooltip="file:///F:\FILE\DOC\1SEAGATE%201\1WORLDSKILLS\1ФИРПО\2023\Матрица%20ЛТ.xlsx#Рабочая_площадка_М2" w:anchor="Рабочая_площадка_М2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2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17" w:tooltip="file:///F:\FILE\DOC\1SEAGATE%201\1WORLDSKILLS\1ФИРПО\2023\Матрица%20ЛТ.xlsx#КО2!A1" w:anchor="КО2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30</w:t>
              </w:r>
            </w:hyperlink>
            <w:r/>
            <w:r/>
          </w:p>
        </w:tc>
      </w:tr>
      <w:tr>
        <w:trPr>
          <w:trHeight w:val="20"/>
        </w:trPr>
        <w:tc>
          <w:tcPr>
            <w:shd w:val="clear" w:color="000000" w:fill="e2efd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Выполнение автоматической и роботизированной термической резки металлов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автоматической лазерной резки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18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В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Изготовление штампов из резины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Константа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19" w:tooltip="file:///F:\FILE\DOC\1SEAGATE%201\1WORLDSKILLS\1ФИРПО\2023\Матрица%20ЛТ.xlsx#Модуль3" w:anchor="Модуль3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3</w:t>
              </w:r>
            </w:hyperlink>
            <w:r/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0" w:tooltip="file:///F:\FILE\DOC\1SEAGATE%201\1WORLDSKILLS\1ФИРПО\2023\Матрица%20ЛТ.xlsx#'КО 3'!A1" w:anchor="'КО 3'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10</w:t>
              </w:r>
            </w:hyperlink>
            <w:r/>
            <w:r/>
          </w:p>
        </w:tc>
      </w:tr>
      <w:tr>
        <w:trPr>
          <w:trHeight w:val="20"/>
        </w:trPr>
        <w:tc>
          <w:tcPr>
            <w:shd w:val="clear" w:color="000000" w:fill="fff2cc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 Выполнение работ при маркировании узлов, деталей и изделий с использованием полуавтоматов, автоматов с числовым программным управлением и лазерных установок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  <w:t xml:space="preserve">Настройка и регулирование маркировочных установок с числовым программным управлением и лазерного оборудования при выполнении работ по маркированию.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ko-KR"/>
              </w:rPr>
              <w:br/>
              <w:t xml:space="preserve">Маркирование и клеймение 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21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40.183;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Г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Лазерная обработка элементов микроэлектроники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Вариатив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2" w:tooltip="file:///F:\FILE\DOC\1SEAGATE%201\1WORLDSKILLS\1ФИРПО\2023\Матрица%20ЛТ.xlsx#модуль4" w:anchor="модуль4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4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3" w:tooltip="file:///F:\FILE\DOC\1SEAGATE%201\1WORLDSKILLS\1ФИРПО\2023\Матрица%20ЛТ.xlsx#КО4!A1" w:anchor="КО4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15</w:t>
              </w:r>
            </w:hyperlink>
            <w:r/>
            <w:r/>
          </w:p>
        </w:tc>
      </w:tr>
      <w:tr>
        <w:trPr>
          <w:trHeight w:val="20"/>
        </w:trPr>
        <w:tc>
          <w:tcPr>
            <w:shd w:val="clear" w:color="000000" w:fill="fff2cc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Выполнение автоматической и роботизированной термической резки металлов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автоматической лазерной резки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24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15.02.14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Лазерная резка металла (прецизионная)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Вариатив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5" w:tooltip="file:///F:\FILE\DOC\1SEAGATE%201\1WORLDSKILLS\1ФИРПО\2023\Матрица%20ЛТ.xlsx#модуль5" w:anchor="модуль5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5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6" w:tooltip="file:///F:\FILE\DOC\1SEAGATE%201\1WORLDSKILLS\1ФИРПО\2023\Матрица%20ЛТ.xlsx#КО5!A1" w:anchor="КО5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15</w:t>
              </w:r>
            </w:hyperlink>
            <w:r/>
            <w:r/>
          </w:p>
        </w:tc>
      </w:tr>
      <w:tr>
        <w:trPr>
          <w:trHeight w:val="20"/>
        </w:trPr>
        <w:tc>
          <w:tcPr>
            <w:shd w:val="clear" w:color="000000" w:fill="fff2cc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ko-KR"/>
              </w:rPr>
              <w:t xml:space="preserve">Выполнение автоматической и роботизированной термической резки металлов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автоматической лазерной резки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/>
            <w:hyperlink r:id="rId27" w:tooltip="file:///F:\FILE\DOC\1SEAGATE%201\1WORLDSKILLS\1ФИРПО\2023\Матрица%20ЛТ.xlsx#RANGE!A1" w:anchor="RANGE!A1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t xml:space="preserve">ПС: 40.114;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150709.03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ko-KR"/>
                </w:rPr>
                <w:br/>
                <w:t xml:space="preserve">ФГОС СПО 15.02.08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Автоматизированная лазерная сварка</w:t>
            </w:r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ko-KR"/>
              </w:rPr>
              <w:t xml:space="preserve">Вариатив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8" w:tooltip="file:///F:\FILE\DOC\1SEAGATE%201\1WORLDSKILLS\1ФИРПО\2023\Матрица%20ЛТ.xlsx#модуль6" w:anchor="модуль6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Раздел ИЛ 6</w:t>
              </w:r>
            </w:hyperlink>
            <w:r/>
            <w:r/>
          </w:p>
        </w:tc>
        <w:tc>
          <w:tcPr>
            <w:shd w:val="clear" w:color="000000" w:fill="fff2cc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563c1"/>
                <w:sz w:val="20"/>
                <w:szCs w:val="20"/>
                <w:u w:val="single"/>
                <w:lang w:eastAsia="ko-KR"/>
              </w:rPr>
            </w:pPr>
            <w:r/>
            <w:hyperlink r:id="rId29" w:tooltip="file:///F:\FILE\DOC\1SEAGATE%201\1WORLDSKILLS\1ФИРПО\2023\Матрица%20ЛТ.xlsx#КО6!A1" w:anchor="КО6!A1" w:history="1">
              <w:r>
                <w:rPr>
                  <w:rFonts w:ascii="Calibri" w:hAnsi="Calibri" w:eastAsia="Times New Roman" w:cs="Calibri"/>
                  <w:color w:val="0563c1"/>
                  <w:sz w:val="20"/>
                  <w:szCs w:val="20"/>
                  <w:u w:val="single"/>
                  <w:lang w:eastAsia="ko-KR"/>
                </w:rPr>
                <w:t xml:space="preserve">15</w:t>
              </w:r>
            </w:hyperlink>
            <w:r/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23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1" w:name="_Toc127145081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(инвариант/вариатив)</w:t>
      </w:r>
      <w:bookmarkEnd w:id="11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/>
      <w:bookmarkStart w:id="12" w:name="_Hlk127129889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Лазерная резка и гравировка пластиков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3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или образцы готовых изделий, файл с логотипами, техническое задание, расходные материалы для выполнения модуля. Используя графическую систему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CAD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ADEM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необходимо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разработать механизм или функциональную конструкцию,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создать технологические модели изделия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для лазерного раскроя и гравировки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выполнить пуско-наладку лазерного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СО2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оборудования, выполнить тесты режимов обработки, выполнить запуск оборудования на изготовление изделия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или механизма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оформить согласно ЕСТД технологическую документацию. Режимы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оптимизировать, а также учитывать экономию расходных материалов. Выполнить постобработку готовых изделий, произвести сборку без использования клея на основе разработки собственных элементов крепления.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Гравировка, лазерный раскрой материалов.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Лазерная маркировка промышленных и декоративных изделий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3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или образцы готовых изделий, файл с логотипами, техническое задание, расходные материалы для выполнения модуля. Используя графическую систему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CAD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ADEM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необходимо создать технологические модели изделий, выполнить пуско-наладку лазерного волоконного оборудования, выполнить тесты режимов обработки для к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аждого типа материала, выполнить запуск оборудования на изготовление всех изделий,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Маркировка металлов и пластиков, абляция, цветная маркировка, резка, нанесение кодовой информации.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Изготовление штампов из резины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1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 час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или образцы готовых изделий, распечатка образца оттиска, файл с логотипами, техническое задание, расходные материалы для выполнения модуля. Используя графическую систему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CAD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ADEM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необходимо создать технологические модели изделий, выполнить пуско-наладку лазерного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оборудования, выполнить тесты режимов обработки, выполнить запуск оборудования на изготовление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штампа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ого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штампа. Проставить штамп на оценочном листе изделия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Лазерная гравировка штампов из резины.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Лазерная обработка элементов микроэлектроники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1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,5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 час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изделий, техническое задание, расходные материалы для выполнения модуля. Используя графическую систему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CAD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ADEM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необходимо создать технологические модели изделия, выполнить пуско-наладку лазерного волоконного оборудования, выполни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ть тесты режимов обработки, выполнить запуск оборудования на изготовление изделия,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Микропрошивка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отверстий в материале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(керамика или полупроводниковые материалы)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 высокой точностью.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Лазерная резка металла (прецизионная)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1,5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 час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</w:t>
      </w:r>
      <w:r>
        <w:rPr>
          <w:rFonts w:ascii="Times New Roman" w:hAnsi="Times New Roman"/>
          <w:sz w:val="28"/>
          <w:szCs w:val="28"/>
        </w:rPr>
        <w:t xml:space="preserve">выдается чертеж, на основе которого необходимо подготовить технологическую модель изделия для автоматизированной лазерной прецизионной резки с использованием линейных приводов или приводов вращения.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изделий, техническое задание, расходные материалы для выполнения модуля. Используя графическую систему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CAD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CAM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ADEM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необходимо создать технологические модели изделия, выполнить пуско-наладку лазерного волоконного оборудования, выполнить тесты режимов обработки, выполнить запуск оборудования для </w:t>
      </w:r>
      <w:r>
        <w:rPr>
          <w:rFonts w:ascii="Times New Roman" w:hAnsi="Times New Roman"/>
          <w:sz w:val="28"/>
          <w:szCs w:val="28"/>
        </w:rPr>
        <w:t xml:space="preserve">лазерной прецизионной резки с использованием линейных приводов или приводов вращения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оформить согласно ЕСТД технологическую документацию. Режимы работы оптимизировать, а также учитывать экономию расходных материалов.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Прецизионная лазерная резка металла.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Автоматизированная лазерная сварка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 час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Описание задания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выдаются чертежи и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зделия, техническое задание, расходные материалы для выполнения модуля – цилиндрические заготовки. Выполнить пуско-наладку лазерного волоконного оборудования, выполнить тесты режимов обработки, создать управляющую программу для выполнения лазерной сварки,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выполнить запуск оборудования на изготовление изделия, оформить согласно ЕСТД технологическую документацию. Режимы работы оптимизировать, а также учитывать экономию расходных материалов. Выполнить постобработку готовых изделий.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Решаемые задачи: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Лазерная сварка цилиндрических изделий в автоматическом и ручном режимах.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bookmarkEnd w:id="12"/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764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3" w:name="_Toc78885643"/>
      <w:r/>
      <w:bookmarkStart w:id="14" w:name="_Toc127145082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3"/>
      <w:r/>
      <w:bookmarkEnd w:id="14"/>
      <w:r/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Рекомендованный возраст участников по компетенции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самостоятельной работы на лазерном оборудовании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18 лет согласно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СанПиН 5804-91 Санитарные нормы и правила устройства и эксплуатации лазеров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азовые направления чемпионатов по компетенции — это направления СПО и МЕЖВУЗ. Также требуется опыт создания конструкторской и технологической документации в соответствии с ЕСКД и ЕСТД.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КЗ для Межвузовской ветки могут быть откорректированы и использованием исследовательских и экспериментальных работ.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Участники выполняют задания в карусельном режиме. Каждый участник начинает работу с модуля в соответствии с номером жеребьевки (1 – А, 2 – Б, 3 – В,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 – Г, 5 – Д, 6 – Е), </w:t>
      </w:r>
      <w:r>
        <w:rPr>
          <w:rFonts w:ascii="Times New Roman" w:hAnsi="Times New Roman"/>
          <w:sz w:val="28"/>
          <w:szCs w:val="32"/>
        </w:rPr>
        <w:t xml:space="preserve">после выполнения данного модуля можно приступать к последовательному выполнению остальных модулей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Перед созданием макета он получает доступ к лазерному станку в соответствии с выполняемым модулем для подбора режимов обработки. Подобранные режимы заносит в технологическую карту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после этого может приступать к созданию технологических моделей.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 только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участники и станки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освобождают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ся, следующие участники приступают к подбору режимов на лазерном оборудовании. Аналогично происходит процесс производства изделий на станках. Если у участника к моменту подбора режимов готов макет, то после подбора он может приступать к лазерной обработке.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Время начала и окончания работы над Технологической моделью и за лазерной установкой по каждому модулю фиксируется. Важно соблюдать очередность выполнения модулей либо выполнять модули, назначаемые </w:t>
      </w:r>
      <w:r>
        <w:rPr>
          <w:rFonts w:ascii="Times New Roman" w:hAnsi="Times New Roman"/>
          <w:sz w:val="28"/>
          <w:szCs w:val="32"/>
        </w:rPr>
        <w:t xml:space="preserve">экспертами. Перед и после выполнения каждого этапа модуля участнику необходимо отметить время у себя в бланке и </w:t>
      </w:r>
      <w:r>
        <w:rPr>
          <w:rFonts w:ascii="Times New Roman" w:hAnsi="Times New Roman"/>
          <w:sz w:val="28"/>
          <w:szCs w:val="32"/>
        </w:rPr>
        <w:t xml:space="preserve">сообщить экспертам</w:t>
      </w:r>
      <w:r>
        <w:rPr>
          <w:rFonts w:ascii="Times New Roman" w:hAnsi="Times New Roman"/>
          <w:sz w:val="28"/>
          <w:szCs w:val="32"/>
        </w:rPr>
        <w:t xml:space="preserve">. Если установка занята другим участником, то можно приступить к выполнению следующего модуля, как только установка освобождается, к работе за ней приглашается конкурсант, </w:t>
      </w:r>
      <w:r>
        <w:rPr>
          <w:rFonts w:ascii="Times New Roman" w:hAnsi="Times New Roman"/>
          <w:sz w:val="28"/>
          <w:szCs w:val="32"/>
        </w:rPr>
        <w:t xml:space="preserve">который следующим закончил макет по данному модулю. Если в задании к модулю не указаны какие-либо параметры элементов макета (размер логотипов, отступы и др.), то конкурсант выполняет данные элементы в соответствии с образцом на чертеже с учетом общего ТЗ.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ascii="Times New Roman" w:hAnsi="Times New Roman" w:eastAsia="Arial Unicode MS" w:cs="Times New Roman"/>
          <w:sz w:val="28"/>
          <w:szCs w:val="28"/>
        </w:rPr>
        <w:t xml:space="preserve">Участник в подготовительный день ознакамливается с принципами работы 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за лазерным оборудованием при участии технического или главного эксперта. Для ознакомления выдается только типовой материал для тренировки, не используемый во время чемпионата. Материалы, используемые в задании, выдаются только в момент выполнения модуля.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Правила выполнения</w:t>
      </w:r>
      <w:r>
        <w:rPr>
          <w:rFonts w:ascii="Times New Roman" w:hAnsi="Times New Roman"/>
          <w:sz w:val="28"/>
          <w:szCs w:val="32"/>
          <w:u w:val="single"/>
        </w:rPr>
        <w:t xml:space="preserve"> работ, входящих в каждый модуль и комментарии к выполнению заданий: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Начало выполнения всех работ только при получении разрешения от эксперт</w:t>
      </w:r>
      <w:r>
        <w:rPr>
          <w:rFonts w:ascii="Times New Roman" w:hAnsi="Times New Roman"/>
          <w:sz w:val="28"/>
          <w:szCs w:val="32"/>
        </w:rPr>
        <w:t xml:space="preserve">ов</w:t>
      </w:r>
      <w:r>
        <w:rPr>
          <w:rFonts w:ascii="Times New Roman" w:hAnsi="Times New Roman"/>
          <w:sz w:val="28"/>
          <w:szCs w:val="32"/>
        </w:rPr>
        <w:t xml:space="preserve">. 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Проверка и п</w:t>
      </w:r>
      <w:r>
        <w:rPr>
          <w:rFonts w:ascii="Times New Roman" w:hAnsi="Times New Roman"/>
          <w:sz w:val="28"/>
          <w:szCs w:val="32"/>
        </w:rPr>
        <w:t xml:space="preserve">одготовка рабочего места. 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Ознакомление с заданием модуля</w:t>
      </w:r>
      <w:r>
        <w:rPr>
          <w:rFonts w:ascii="Times New Roman" w:hAnsi="Times New Roman"/>
          <w:sz w:val="28"/>
          <w:szCs w:val="32"/>
        </w:rPr>
        <w:t xml:space="preserve"> происходит непосредственно перед выполнением модуля, а также п</w:t>
      </w:r>
      <w:r>
        <w:rPr>
          <w:rFonts w:ascii="Times New Roman" w:hAnsi="Times New Roman"/>
          <w:sz w:val="28"/>
          <w:szCs w:val="32"/>
        </w:rPr>
        <w:t xml:space="preserve">роверка и исследование расходных материалов.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При свободном станке перейт</w:t>
      </w:r>
      <w:r>
        <w:rPr>
          <w:rFonts w:ascii="Times New Roman" w:hAnsi="Times New Roman"/>
          <w:sz w:val="28"/>
          <w:szCs w:val="32"/>
        </w:rPr>
        <w:t xml:space="preserve">и к пуско-наладке лазерного оборудования, закрыв все программы на рабочем столе ПК и взяв с собой необходимые бумаги, материалы, и выполнить подбор режимов для используемых материалов, соблюдая технику безопасности (включение вытяжки, засученные рукава, сп</w:t>
      </w:r>
      <w:r>
        <w:rPr>
          <w:rFonts w:ascii="Times New Roman" w:hAnsi="Times New Roman"/>
          <w:sz w:val="28"/>
          <w:szCs w:val="32"/>
        </w:rPr>
        <w:t xml:space="preserve">рятанные или убранные длинные волосы, снятые кольца, смарт-часы браслеты и другая бижутерия, убранная гарнитура. Подобранные режимы записать в технологическую карту. Привести станочное место в порядок, удалить свои элементы из программы управления станком.</w:t>
      </w:r>
      <w:r/>
    </w:p>
    <w:p>
      <w:pPr>
        <w:pStyle w:val="832"/>
        <w:numPr>
          <w:ilvl w:val="0"/>
          <w:numId w:val="28"/>
        </w:numPr>
        <w:ind w:left="0"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eastAsia="Arial Unicode MS"/>
          <w:sz w:val="28"/>
          <w:szCs w:val="28"/>
        </w:rPr>
        <w:t xml:space="preserve">Время работы за станком фиксируется участниками и экспертами. На подбор режимов дается одна попытка, если требуются еще, то идет вычитание баллов.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Подготовка макетов - технологических моделей в CAD/CAM системе ADEM или векторном редакторе </w:t>
      </w:r>
      <w:r>
        <w:rPr>
          <w:rFonts w:ascii="Times New Roman" w:hAnsi="Times New Roman"/>
          <w:sz w:val="28"/>
          <w:szCs w:val="32"/>
        </w:rPr>
        <w:t xml:space="preserve">CorelDraw</w:t>
      </w:r>
      <w:r>
        <w:rPr>
          <w:rFonts w:ascii="Times New Roman" w:hAnsi="Times New Roman"/>
          <w:sz w:val="28"/>
          <w:szCs w:val="32"/>
        </w:rPr>
        <w:t xml:space="preserve">. Выполнение периодического сохранения файлов. После подготовки макетов в соо</w:t>
      </w:r>
      <w:r>
        <w:rPr>
          <w:rFonts w:ascii="Times New Roman" w:hAnsi="Times New Roman"/>
          <w:sz w:val="28"/>
          <w:szCs w:val="32"/>
        </w:rPr>
        <w:t xml:space="preserve">тветствии с ТЗ выполнить необходимые их экспорты в файлы, необходимые для работы в системе управления станком. При работе с системами лазерной маркировки загрузить необходимые файлы и выставить подобранные режимы. Сохранить файл управляющей системы станка.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Работа с лазерным оборудованием: включение вытяжной системы, включение станка, запуск системы управления станком, поиск фокусного расстояния, загрузка подготовленного файла, настройка очередности обработки элементов изделия, запуск станка. 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Соблюдени</w:t>
      </w:r>
      <w:r>
        <w:rPr>
          <w:rFonts w:ascii="Times New Roman" w:hAnsi="Times New Roman"/>
          <w:sz w:val="28"/>
          <w:szCs w:val="32"/>
        </w:rPr>
        <w:t xml:space="preserve">е техники безопасности. Изготовление изделия на лазерном станке допускается только с включенной вытяжной системой и закрытой крышкой станка. При включенном лазерном излучении во время пуска на открытой системе лазерной обработки участник должен работать в </w:t>
      </w:r>
      <w:r>
        <w:rPr>
          <w:rFonts w:ascii="Times New Roman" w:hAnsi="Times New Roman"/>
          <w:sz w:val="28"/>
          <w:szCs w:val="32"/>
        </w:rPr>
        <w:t xml:space="preserve">защитных </w:t>
      </w:r>
      <w:r>
        <w:rPr>
          <w:rFonts w:ascii="Times New Roman" w:hAnsi="Times New Roman"/>
          <w:sz w:val="28"/>
          <w:szCs w:val="32"/>
        </w:rPr>
        <w:t xml:space="preserve">очках. Что касается рукавов, то они должны быть засучены таким образом, чтобы они не свисали и не могли попасть под движущиеся органы станков.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Необходимо внимательно исследовать изделия на наличие дефектов до начала обработки и наличие пленки. 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На каждом изделии участника должен быть проставлен номер участника или код в соответствии с жеребьевкой.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По окончании работы на станке участник должен вы</w:t>
      </w:r>
      <w:r>
        <w:rPr>
          <w:rFonts w:ascii="Times New Roman" w:hAnsi="Times New Roman"/>
          <w:sz w:val="28"/>
          <w:szCs w:val="32"/>
        </w:rPr>
        <w:t xml:space="preserve">полнить постобработку (при необходимости) с использованием салфеток и чистящих средств для удаления продуктов нагара, а также провести обслуживание лазерного оборудования, утилизировать непригодные для использования остатки материала, убрать рабочее место.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Изделия, обработанные на несоответствующей стороне или по пленке, не оцениваются.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Во время выполнения заданий на рабочих местах не должно быть посторонних предметов.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Участник должен сообщать о всех необходимых действиях за станком от включения станка и вытяжки до уборки рабочего пространства станка, и изделий</w:t>
      </w:r>
      <w:r>
        <w:rPr>
          <w:rFonts w:ascii="Times New Roman" w:hAnsi="Times New Roman"/>
          <w:sz w:val="28"/>
          <w:szCs w:val="32"/>
        </w:rPr>
        <w:t xml:space="preserve">, а также о начале и окончании выполнения каждого этапа задания.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Все процедуры по сохранению файлов входят во время работы с макетом или станком.</w:t>
      </w:r>
      <w:r/>
    </w:p>
    <w:p>
      <w:pPr>
        <w:ind w:firstLine="284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•</w:t>
      </w:r>
      <w:r>
        <w:rPr>
          <w:rFonts w:ascii="Times New Roman" w:hAnsi="Times New Roman"/>
          <w:sz w:val="28"/>
          <w:szCs w:val="32"/>
        </w:rPr>
        <w:tab/>
        <w:t xml:space="preserve">Участник должен грамотно использовать логическое мышление (например, если в одном месте написано X- номер участника – это не значит, что если этот Х встречается в других элементах, то нужно ставить свой номер).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Участники должны сохранять все файлы в своей папке (пример 9-125: 9 – номер участника, 125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- регион) на рабочем столе. Перед подходом к станку участник копирует папку с файлами модуля на выданную флешку и затем работает на компьютере, подключенном к станку.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Типы сохраняемых файлов и папок: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Примерное сохранение: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Папка: </w:t>
      </w:r>
      <w:r>
        <w:rPr>
          <w:rFonts w:ascii="Times New Roman" w:hAnsi="Times New Roman"/>
          <w:sz w:val="28"/>
          <w:szCs w:val="32"/>
        </w:rPr>
        <w:t xml:space="preserve">Модуль_В_У</w:t>
      </w:r>
      <w:r>
        <w:rPr>
          <w:rFonts w:ascii="Times New Roman" w:hAnsi="Times New Roman"/>
          <w:sz w:val="28"/>
          <w:szCs w:val="32"/>
        </w:rPr>
        <w:t xml:space="preserve">-R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Модуль_У-R.cdr</w:t>
      </w:r>
      <w:r>
        <w:rPr>
          <w:rFonts w:ascii="Times New Roman" w:hAnsi="Times New Roman"/>
          <w:sz w:val="28"/>
          <w:szCs w:val="32"/>
        </w:rPr>
        <w:t xml:space="preserve">,  (</w:t>
      </w:r>
      <w:r>
        <w:rPr>
          <w:rFonts w:ascii="Times New Roman" w:hAnsi="Times New Roman"/>
          <w:sz w:val="28"/>
          <w:szCs w:val="32"/>
        </w:rPr>
        <w:t xml:space="preserve">А…F – буква модуля, У – номер участника, R – номер региона),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Модуль_В_Макеты_У-R.cdr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Модуль_В_Изделие1_наименование_ У-R.bmp (и другие используемые файлы для ПО </w:t>
      </w:r>
      <w:r>
        <w:rPr>
          <w:rFonts w:ascii="Times New Roman" w:hAnsi="Times New Roman"/>
          <w:sz w:val="28"/>
          <w:szCs w:val="32"/>
        </w:rPr>
        <w:t xml:space="preserve">Maxigraf</w:t>
      </w:r>
      <w:r>
        <w:rPr>
          <w:rFonts w:ascii="Times New Roman" w:hAnsi="Times New Roman"/>
          <w:sz w:val="28"/>
          <w:szCs w:val="32"/>
        </w:rPr>
        <w:t xml:space="preserve">)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Модуль_В_У-</w:t>
      </w:r>
      <w:r>
        <w:rPr>
          <w:rFonts w:ascii="Times New Roman" w:hAnsi="Times New Roman"/>
          <w:sz w:val="28"/>
          <w:szCs w:val="32"/>
        </w:rPr>
        <w:t xml:space="preserve">R.le</w:t>
      </w:r>
      <w:r>
        <w:rPr>
          <w:rFonts w:ascii="Times New Roman" w:hAnsi="Times New Roman"/>
          <w:sz w:val="28"/>
          <w:szCs w:val="32"/>
        </w:rPr>
        <w:t xml:space="preserve"> (файл </w:t>
      </w:r>
      <w:r>
        <w:rPr>
          <w:rFonts w:ascii="Times New Roman" w:hAnsi="Times New Roman"/>
          <w:sz w:val="28"/>
          <w:szCs w:val="32"/>
        </w:rPr>
        <w:t xml:space="preserve">максиграфа</w:t>
      </w:r>
      <w:r>
        <w:rPr>
          <w:rFonts w:ascii="Times New Roman" w:hAnsi="Times New Roman"/>
          <w:sz w:val="28"/>
          <w:szCs w:val="32"/>
        </w:rPr>
        <w:t xml:space="preserve">, или </w:t>
      </w:r>
      <w:r>
        <w:rPr>
          <w:rFonts w:ascii="Times New Roman" w:hAnsi="Times New Roman"/>
          <w:sz w:val="28"/>
          <w:szCs w:val="32"/>
        </w:rPr>
        <w:t xml:space="preserve">шарплейза</w:t>
      </w:r>
      <w:r>
        <w:rPr>
          <w:rFonts w:ascii="Times New Roman" w:hAnsi="Times New Roman"/>
          <w:sz w:val="28"/>
          <w:szCs w:val="32"/>
        </w:rPr>
        <w:t xml:space="preserve"> – если несколько файлов, то добавляем наименование изделия или элемента)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 аналогии выставляются имена для других модулей и заданий.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 сохранении файлов важно, чтобы было понимание, что за файл сохранен, к какому модулю относится и его наименование.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Используемые логотипы будут находиться на рабочем столе ПК участника.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Если в модуле имеется несколько заданий, то все макеты для работы за станком сохраняются в отдельных папках с наименованием модуля.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Несоответствующее или сильно искаженное сохранение файлов будет учитываться при оценке.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Умышленное изменение настрое</w:t>
      </w:r>
      <w:r>
        <w:rPr>
          <w:rFonts w:ascii="Times New Roman" w:hAnsi="Times New Roman"/>
          <w:sz w:val="28"/>
          <w:szCs w:val="32"/>
        </w:rPr>
        <w:t xml:space="preserve">к оборудования, приводящее к несоответствующей работе ПО или оборудования, подлежит санкциям, кроме случаев для использования в пуско-наладке станка. В данном случае участнику необходимо будет вернуть все настройки в исходное состояние (пример: выключение </w:t>
      </w:r>
      <w:r>
        <w:rPr>
          <w:rFonts w:ascii="Times New Roman" w:hAnsi="Times New Roman"/>
          <w:sz w:val="28"/>
          <w:szCs w:val="32"/>
        </w:rPr>
        <w:t xml:space="preserve">поддува</w:t>
      </w:r>
      <w:r>
        <w:rPr>
          <w:rFonts w:ascii="Times New Roman" w:hAnsi="Times New Roman"/>
          <w:sz w:val="28"/>
          <w:szCs w:val="32"/>
        </w:rPr>
        <w:t xml:space="preserve">, изменение фокусного расстояния при запуске изделия, включение автоматического запуска лазерной обработки).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Технический администратор площадки осуществляет помощь участнику только при возникновении технических неполадок или проблем. Выходить с соревновательной зоны, не выполнив этап задания или до завершения выполнения модуля не</w:t>
      </w:r>
      <w:r>
        <w:rPr>
          <w:rFonts w:ascii="Times New Roman" w:hAnsi="Times New Roman"/>
          <w:sz w:val="28"/>
          <w:szCs w:val="32"/>
        </w:rPr>
        <w:t xml:space="preserve"> рекомендуется</w:t>
      </w:r>
      <w:r>
        <w:rPr>
          <w:rFonts w:ascii="Times New Roman" w:hAnsi="Times New Roman"/>
          <w:sz w:val="28"/>
          <w:szCs w:val="32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Работа экспертов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конкурсной площадке могут находиться ГЭ, допущенные эксперты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оценочн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 группа, независимые эксперты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а также специалисты, которые имеют опыт работы на лазерных установках подтвержденные соответствующими 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кументами (свидетельства, сертификаты). Эксперты, не задействованные в работе на конкурсной площадке, выполняют роль сопровождающих, и во время проведения чемпионата находятся в комнате экспертов, наблюдая за площадкой через выведенное изображение с камер.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 время работы конкурсантов эксперты не должны подходить бли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 1,5 -2х метров и отвлекать их. Рядом с участником, работающим за лазерным оборудованием, может находиться Главный эксперт, его заместитель или технический эксперт для избегания аварийных ситуаций, а также опытные эксперты, назначенные Главным экспертом.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Межвузовской ветки могут быть откорректированы и использованием исследовательск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экспериментальных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работ.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15" w:name="_Toc78885659"/>
      <w:r/>
      <w:bookmarkStart w:id="16" w:name="_Toc127145083"/>
      <w:r>
        <w:rPr>
          <w:rFonts w:ascii="Times New Roman" w:hAnsi="Times New Roman"/>
          <w:color w:val="000000"/>
          <w:sz w:val="24"/>
        </w:rPr>
        <w:t xml:space="preserve">2</w:t>
      </w:r>
      <w:r>
        <w:rPr>
          <w:rFonts w:ascii="Times New Roman" w:hAnsi="Times New Roman"/>
          <w:color w:val="000000"/>
          <w:sz w:val="24"/>
        </w:rPr>
        <w:t xml:space="preserve">.</w:t>
      </w:r>
      <w:r>
        <w:rPr>
          <w:rFonts w:ascii="Times New Roman" w:hAnsi="Times New Roman"/>
          <w:color w:val="000000"/>
          <w:sz w:val="24"/>
        </w:rPr>
        <w:t xml:space="preserve">1</w:t>
      </w:r>
      <w:r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 xml:space="preserve">Личный инструмент конкурсанта</w:t>
      </w:r>
      <w:bookmarkEnd w:id="16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4"/>
        <w:gridCol w:w="1164"/>
        <w:gridCol w:w="4041"/>
      </w:tblGrid>
      <w:tr>
        <w:trPr>
          <w:jc w:val="right"/>
          <w:trHeight w:val="113"/>
        </w:trPr>
        <w:tc>
          <w:tcPr>
            <w:shd w:val="clear" w:color="auto" w:fill="ffffff"/>
            <w:tcW w:w="2300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 - применяется только при отсутствии на конкурсной площадке компьютеров для подготовки технологических моделей, не должен предоставлять преимущества перед другими участниками</w:t>
            </w:r>
            <w:r/>
          </w:p>
        </w:tc>
        <w:tc>
          <w:tcPr>
            <w:shd w:val="clear" w:color="auto" w:fill="ffffff"/>
            <w:tcW w:w="604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shd w:val="clear" w:color="auto" w:fill="ffffff"/>
            <w:tcW w:w="2096" w:type="pct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(использование личных системных блоков и мониторов не допускается)</w:t>
            </w:r>
            <w:r/>
          </w:p>
        </w:tc>
      </w:tr>
      <w:tr>
        <w:trPr>
          <w:jc w:val="right"/>
          <w:trHeight w:val="113"/>
        </w:trPr>
        <w:tc>
          <w:tcPr>
            <w:shd w:val="clear" w:color="auto" w:fill="ffffff"/>
            <w:tcW w:w="2300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</w:t>
            </w:r>
            <w:r/>
          </w:p>
        </w:tc>
        <w:tc>
          <w:tcPr>
            <w:shd w:val="clear" w:color="auto" w:fill="ffffff"/>
            <w:tcW w:w="604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shd w:val="clear" w:color="auto" w:fill="ffffff"/>
            <w:tcW w:w="2096" w:type="pct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right"/>
          <w:trHeight w:val="113"/>
        </w:trPr>
        <w:tc>
          <w:tcPr>
            <w:shd w:val="clear" w:color="auto" w:fill="ffffff"/>
            <w:tcW w:w="2300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(карандаш)</w:t>
            </w:r>
            <w:r/>
          </w:p>
        </w:tc>
        <w:tc>
          <w:tcPr>
            <w:shd w:val="clear" w:color="auto" w:fill="ffffff"/>
            <w:tcW w:w="604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shd w:val="clear" w:color="auto" w:fill="ffffff"/>
            <w:tcW w:w="2096" w:type="pct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right"/>
          <w:trHeight w:val="113"/>
        </w:trPr>
        <w:tc>
          <w:tcPr>
            <w:shd w:val="clear" w:color="auto" w:fill="ffffff"/>
            <w:tcW w:w="2300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нониусный</w:t>
            </w:r>
            <w:r/>
          </w:p>
        </w:tc>
        <w:tc>
          <w:tcPr>
            <w:shd w:val="clear" w:color="auto" w:fill="ffffff"/>
            <w:tcW w:w="604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shd w:val="clear" w:color="auto" w:fill="ffffff"/>
            <w:tcW w:w="2096" w:type="pct"/>
            <w:textDirection w:val="lrTb"/>
            <w:noWrap w:val="false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(цифровой не допускается)</w:t>
            </w:r>
            <w:r/>
          </w:p>
        </w:tc>
      </w:tr>
      <w:tr>
        <w:trPr>
          <w:jc w:val="right"/>
          <w:trHeight w:val="113"/>
        </w:trPr>
        <w:tc>
          <w:tcPr>
            <w:shd w:val="clear" w:color="auto" w:fill="ffffff"/>
            <w:tcW w:w="2300" w:type="pct"/>
            <w:vAlign w:val="center"/>
            <w:textDirection w:val="lrTb"/>
            <w:noWrap w:val="false"/>
          </w:tcPr>
          <w:p>
            <w:pPr>
              <w:pStyle w:val="847"/>
              <w:ind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</w:t>
            </w:r>
            <w:r/>
          </w:p>
        </w:tc>
        <w:tc>
          <w:tcPr>
            <w:shd w:val="clear" w:color="auto" w:fill="ffffff"/>
            <w:tcW w:w="604" w:type="pct"/>
            <w:vAlign w:val="center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shd w:val="clear" w:color="auto" w:fill="ffffff"/>
            <w:tcW w:w="2096" w:type="pct"/>
            <w:textDirection w:val="lrTb"/>
            <w:noWrap w:val="false"/>
          </w:tcPr>
          <w:p>
            <w:pPr>
              <w:pStyle w:val="847"/>
              <w:ind w:left="57" w:right="57" w:firstLine="0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pStyle w:val="765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/>
      <w:bookmarkStart w:id="17" w:name="_Toc78885660"/>
      <w:r/>
      <w:r/>
    </w:p>
    <w:p>
      <w:pPr>
        <w:pStyle w:val="765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Материалы, оборудование и инструменты, запрещенные на площадке</w:t>
      </w:r>
      <w:bookmarkEnd w:id="17"/>
      <w:r/>
      <w:r/>
    </w:p>
    <w:p>
      <w:pPr>
        <w:pStyle w:val="832"/>
        <w:ind w:left="1080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2"/>
        <w:ind w:left="10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ля конкурсантов запрещены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32"/>
        <w:numPr>
          <w:ilvl w:val="0"/>
          <w:numId w:val="29"/>
        </w:numPr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ИТ-информация (напр., данные, программы и т. д.) и оборудование, обеспечивающее беспроводную связь в зоне компетенции и за ее пределами во время соревновательной части (мобильные телефоны, гаджеты, </w:t>
      </w:r>
      <w:r>
        <w:rPr>
          <w:rFonts w:ascii="Times New Roman" w:hAnsi="Times New Roman"/>
          <w:sz w:val="28"/>
          <w:szCs w:val="28"/>
        </w:rPr>
        <w:t xml:space="preserve">флеш</w:t>
      </w:r>
      <w:r>
        <w:rPr>
          <w:rFonts w:ascii="Times New Roman" w:hAnsi="Times New Roman"/>
          <w:sz w:val="28"/>
          <w:szCs w:val="28"/>
        </w:rPr>
        <w:t xml:space="preserve">-накопители</w:t>
      </w:r>
      <w:r>
        <w:rPr>
          <w:rFonts w:ascii="Times New Roman" w:hAnsi="Times New Roman"/>
          <w:sz w:val="28"/>
          <w:szCs w:val="28"/>
        </w:rPr>
        <w:t xml:space="preserve"> (помимо выданных)</w:t>
      </w:r>
      <w:r>
        <w:rPr>
          <w:rFonts w:ascii="Times New Roman" w:hAnsi="Times New Roman"/>
          <w:sz w:val="28"/>
          <w:szCs w:val="28"/>
        </w:rPr>
        <w:t xml:space="preserve">, гарнитуры</w:t>
      </w:r>
      <w:r>
        <w:rPr>
          <w:rFonts w:ascii="Times New Roman" w:hAnsi="Times New Roman"/>
          <w:sz w:val="28"/>
          <w:szCs w:val="28"/>
        </w:rPr>
        <w:t xml:space="preserve">, наушники, плееры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тд</w:t>
      </w:r>
      <w:r>
        <w:rPr>
          <w:rFonts w:ascii="Times New Roman" w:hAnsi="Times New Roman"/>
          <w:sz w:val="28"/>
          <w:szCs w:val="28"/>
        </w:rPr>
        <w:t xml:space="preserve">..);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32"/>
        <w:numPr>
          <w:ilvl w:val="0"/>
          <w:numId w:val="29"/>
        </w:numPr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сеть должна быть отключена на компьютере участника, а также другие системные приложения для передачи информации (исключение дистанционный формат);</w:t>
      </w:r>
      <w:r/>
    </w:p>
    <w:p>
      <w:pPr>
        <w:pStyle w:val="832"/>
        <w:numPr>
          <w:ilvl w:val="0"/>
          <w:numId w:val="29"/>
        </w:numPr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осторонни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канцелярски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 xml:space="preserve">и, блокноты </w:t>
      </w:r>
      <w:r>
        <w:rPr>
          <w:rFonts w:ascii="Times New Roman" w:hAnsi="Times New Roman"/>
          <w:sz w:val="28"/>
          <w:szCs w:val="28"/>
        </w:rPr>
        <w:t xml:space="preserve">для записей (шпаргал</w:t>
      </w:r>
      <w:r>
        <w:rPr>
          <w:rFonts w:ascii="Times New Roman" w:hAnsi="Times New Roman"/>
          <w:sz w:val="28"/>
          <w:szCs w:val="28"/>
        </w:rPr>
        <w:t xml:space="preserve">ки</w:t>
      </w:r>
      <w:r>
        <w:rPr>
          <w:rFonts w:ascii="Times New Roman" w:hAnsi="Times New Roman"/>
          <w:sz w:val="28"/>
          <w:szCs w:val="28"/>
        </w:rPr>
        <w:t xml:space="preserve">), не указанны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Toolbox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32"/>
        <w:numPr>
          <w:ilvl w:val="0"/>
          <w:numId w:val="29"/>
        </w:numPr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расходные материалы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32"/>
        <w:numPr>
          <w:ilvl w:val="0"/>
          <w:numId w:val="29"/>
        </w:numPr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Кольца, браслеты, часы, бусы, цеп</w:t>
      </w:r>
      <w:r>
        <w:rPr>
          <w:rFonts w:ascii="Times New Roman" w:hAnsi="Times New Roman"/>
          <w:sz w:val="28"/>
          <w:szCs w:val="28"/>
        </w:rPr>
        <w:t xml:space="preserve">и и другая бижутерия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Мобильные телефоны, ноутбуки, планшеты м</w:t>
      </w:r>
      <w:r>
        <w:rPr>
          <w:rFonts w:ascii="Times New Roman" w:hAnsi="Times New Roman"/>
          <w:sz w:val="28"/>
          <w:szCs w:val="28"/>
        </w:rPr>
        <w:t xml:space="preserve">огут быть использованы экспертами в зоне компетенции, как установлено главным экспертом до начала Чемпионата.</w:t>
      </w:r>
      <w:r>
        <w:rPr>
          <w:rFonts w:ascii="Times New Roman" w:hAnsi="Times New Roman"/>
          <w:sz w:val="28"/>
          <w:szCs w:val="28"/>
        </w:rPr>
        <w:t xml:space="preserve"> Рекомендуется собрать все мобильные телефоны участников и экспертов-компатриотов в отдельный ящик.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Иное ПО (не желательно использовать при предоставлении ПО организатором соревнований) применяется только по согласованию с Менеджером компетенции или главным экспертом совместно со всеми экспертами. Используемое ПО не должно упрощать работу конкурсантов.</w:t>
      </w:r>
      <w:r>
        <w:rPr>
          <w:rFonts w:ascii="Times New Roman" w:hAnsi="Times New Roman"/>
          <w:sz w:val="28"/>
          <w:szCs w:val="28"/>
        </w:rPr>
        <w:t xml:space="preserve"> Не допускается создание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  <w:lang w:val="en-US"/>
        </w:rPr>
        <w:t xml:space="preserve">D</w:t>
      </w:r>
      <w:r>
        <w:rPr>
          <w:rFonts w:ascii="Times New Roman" w:hAnsi="Times New Roman"/>
          <w:sz w:val="28"/>
          <w:szCs w:val="28"/>
        </w:rPr>
        <w:t xml:space="preserve"> моделей</w:t>
      </w:r>
      <w:r>
        <w:rPr>
          <w:rFonts w:ascii="Times New Roman" w:hAnsi="Times New Roman"/>
          <w:sz w:val="28"/>
          <w:szCs w:val="28"/>
        </w:rPr>
        <w:t xml:space="preserve">, если это не предусмотрено ТЗ.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проблемы, возникающие с работой ПО конкурсанта, решает либо сам конкурсант, либо </w:t>
      </w:r>
      <w:r>
        <w:rPr>
          <w:rFonts w:ascii="Times New Roman" w:hAnsi="Times New Roman"/>
          <w:sz w:val="28"/>
          <w:szCs w:val="28"/>
        </w:rPr>
        <w:t xml:space="preserve">сопровождающий (эксперт)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22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pStyle w:val="822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8" w:name="_Toc127145084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8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азерные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Чертежи, 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, алгоритмы, схемы</w:t>
      </w:r>
      <w:r>
        <w:rPr>
          <w:rFonts w:ascii="Times New Roman" w:hAnsi="Times New Roman" w:cs="Times New Roman"/>
          <w:sz w:val="28"/>
          <w:szCs w:val="28"/>
        </w:rPr>
        <w:t xml:space="preserve">, бланки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77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77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10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41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81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2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0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pStyle w:val="79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5"/>
  </w:num>
  <w:num w:numId="10">
    <w:abstractNumId w:val="7"/>
  </w:num>
  <w:num w:numId="11">
    <w:abstractNumId w:val="3"/>
  </w:num>
  <w:num w:numId="12">
    <w:abstractNumId w:val="13"/>
  </w:num>
  <w:num w:numId="13">
    <w:abstractNumId w:val="28"/>
  </w:num>
  <w:num w:numId="14">
    <w:abstractNumId w:val="14"/>
  </w:num>
  <w:num w:numId="15">
    <w:abstractNumId w:val="26"/>
  </w:num>
  <w:num w:numId="16">
    <w:abstractNumId w:val="29"/>
  </w:num>
  <w:num w:numId="17">
    <w:abstractNumId w:val="27"/>
  </w:num>
  <w:num w:numId="18">
    <w:abstractNumId w:val="24"/>
  </w:num>
  <w:num w:numId="19">
    <w:abstractNumId w:val="17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8"/>
  </w:num>
  <w:num w:numId="25">
    <w:abstractNumId w:val="18"/>
  </w:num>
  <w:num w:numId="26">
    <w:abstractNumId w:val="10"/>
  </w:num>
  <w:num w:numId="27">
    <w:abstractNumId w:val="22"/>
  </w:num>
  <w:num w:numId="28">
    <w:abstractNumId w:val="19"/>
  </w:num>
  <w:num w:numId="29">
    <w:abstractNumId w:val="20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72"/>
    <w:link w:val="76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72"/>
    <w:link w:val="76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72"/>
    <w:link w:val="76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72"/>
    <w:link w:val="76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72"/>
    <w:link w:val="76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72"/>
    <w:link w:val="76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72"/>
    <w:link w:val="7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72"/>
    <w:link w:val="77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72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62"/>
    <w:next w:val="7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2"/>
    <w:link w:val="33"/>
    <w:uiPriority w:val="10"/>
    <w:rPr>
      <w:sz w:val="48"/>
      <w:szCs w:val="48"/>
    </w:rPr>
  </w:style>
  <w:style w:type="paragraph" w:styleId="35">
    <w:name w:val="Subtitle"/>
    <w:basedOn w:val="762"/>
    <w:next w:val="7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2"/>
    <w:link w:val="35"/>
    <w:uiPriority w:val="11"/>
    <w:rPr>
      <w:sz w:val="24"/>
      <w:szCs w:val="24"/>
    </w:rPr>
  </w:style>
  <w:style w:type="paragraph" w:styleId="37">
    <w:name w:val="Quote"/>
    <w:basedOn w:val="762"/>
    <w:next w:val="7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62"/>
    <w:next w:val="7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2"/>
    <w:link w:val="775"/>
    <w:uiPriority w:val="99"/>
  </w:style>
  <w:style w:type="character" w:styleId="44">
    <w:name w:val="Footer Char"/>
    <w:basedOn w:val="772"/>
    <w:link w:val="777"/>
    <w:uiPriority w:val="99"/>
  </w:style>
  <w:style w:type="character" w:styleId="46">
    <w:name w:val="Caption Char"/>
    <w:basedOn w:val="808"/>
    <w:link w:val="777"/>
    <w:uiPriority w:val="99"/>
  </w:style>
  <w:style w:type="table" w:styleId="48">
    <w:name w:val="Table Grid Light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11"/>
    <w:uiPriority w:val="99"/>
    <w:rPr>
      <w:sz w:val="18"/>
    </w:rPr>
  </w:style>
  <w:style w:type="paragraph" w:styleId="177">
    <w:name w:val="endnote text"/>
    <w:basedOn w:val="7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2"/>
    <w:uiPriority w:val="99"/>
    <w:semiHidden/>
    <w:unhideWhenUsed/>
    <w:rPr>
      <w:vertAlign w:val="superscript"/>
    </w:rPr>
  </w:style>
  <w:style w:type="paragraph" w:styleId="183">
    <w:name w:val="toc 4"/>
    <w:basedOn w:val="762"/>
    <w:next w:val="7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62"/>
    <w:next w:val="7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62"/>
    <w:next w:val="7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62"/>
    <w:next w:val="7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62"/>
    <w:next w:val="7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62"/>
    <w:next w:val="76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62"/>
    <w:next w:val="762"/>
    <w:uiPriority w:val="99"/>
    <w:unhideWhenUsed/>
    <w:pPr>
      <w:spacing w:after="0" w:afterAutospacing="0"/>
    </w:p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784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64">
    <w:name w:val="Heading 2"/>
    <w:basedOn w:val="762"/>
    <w:next w:val="762"/>
    <w:link w:val="785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65">
    <w:name w:val="Heading 3"/>
    <w:basedOn w:val="762"/>
    <w:next w:val="762"/>
    <w:link w:val="786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66">
    <w:name w:val="Heading 4"/>
    <w:basedOn w:val="762"/>
    <w:next w:val="762"/>
    <w:link w:val="787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67">
    <w:name w:val="Heading 5"/>
    <w:basedOn w:val="762"/>
    <w:next w:val="762"/>
    <w:link w:val="788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68">
    <w:name w:val="Heading 6"/>
    <w:basedOn w:val="762"/>
    <w:next w:val="762"/>
    <w:link w:val="789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69">
    <w:name w:val="Heading 7"/>
    <w:basedOn w:val="762"/>
    <w:next w:val="762"/>
    <w:link w:val="790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70">
    <w:name w:val="Heading 8"/>
    <w:basedOn w:val="762"/>
    <w:next w:val="762"/>
    <w:link w:val="791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71">
    <w:name w:val="Heading 9"/>
    <w:basedOn w:val="762"/>
    <w:next w:val="762"/>
    <w:link w:val="792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paragraph" w:styleId="775">
    <w:name w:val="Header"/>
    <w:basedOn w:val="762"/>
    <w:link w:val="7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6" w:customStyle="1">
    <w:name w:val="Верхний колонтитул Знак"/>
    <w:basedOn w:val="772"/>
    <w:link w:val="775"/>
    <w:uiPriority w:val="99"/>
  </w:style>
  <w:style w:type="paragraph" w:styleId="777">
    <w:name w:val="Footer"/>
    <w:basedOn w:val="762"/>
    <w:link w:val="7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8" w:customStyle="1">
    <w:name w:val="Нижний колонтитул Знак"/>
    <w:basedOn w:val="772"/>
    <w:link w:val="777"/>
    <w:uiPriority w:val="99"/>
  </w:style>
  <w:style w:type="paragraph" w:styleId="779">
    <w:name w:val="No Spacing"/>
    <w:link w:val="78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80" w:customStyle="1">
    <w:name w:val="Без интервала Знак"/>
    <w:basedOn w:val="772"/>
    <w:link w:val="779"/>
    <w:uiPriority w:val="1"/>
    <w:rPr>
      <w:rFonts w:eastAsiaTheme="minorEastAsia"/>
      <w:lang w:eastAsia="ru-RU"/>
    </w:rPr>
  </w:style>
  <w:style w:type="character" w:styleId="781">
    <w:name w:val="Placeholder Text"/>
    <w:basedOn w:val="772"/>
    <w:uiPriority w:val="99"/>
    <w:semiHidden/>
    <w:rPr>
      <w:color w:val="808080"/>
    </w:rPr>
  </w:style>
  <w:style w:type="paragraph" w:styleId="782">
    <w:name w:val="Balloon Text"/>
    <w:basedOn w:val="762"/>
    <w:link w:val="783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83" w:customStyle="1">
    <w:name w:val="Текст выноски Знак"/>
    <w:basedOn w:val="772"/>
    <w:link w:val="782"/>
    <w:rPr>
      <w:rFonts w:ascii="Tahoma" w:hAnsi="Tahoma" w:cs="Tahoma"/>
      <w:sz w:val="16"/>
      <w:szCs w:val="16"/>
    </w:rPr>
  </w:style>
  <w:style w:type="character" w:styleId="784" w:customStyle="1">
    <w:name w:val="Заголовок 1 Знак"/>
    <w:basedOn w:val="772"/>
    <w:link w:val="763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85" w:customStyle="1">
    <w:name w:val="Заголовок 2 Знак"/>
    <w:basedOn w:val="772"/>
    <w:link w:val="764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86" w:customStyle="1">
    <w:name w:val="Заголовок 3 Знак"/>
    <w:basedOn w:val="772"/>
    <w:link w:val="765"/>
    <w:rPr>
      <w:rFonts w:ascii="Arial" w:hAnsi="Arial" w:eastAsia="Times New Roman" w:cs="Arial"/>
      <w:b/>
      <w:bCs/>
      <w:szCs w:val="26"/>
      <w:lang w:val="en-GB"/>
    </w:rPr>
  </w:style>
  <w:style w:type="character" w:styleId="787" w:customStyle="1">
    <w:name w:val="Заголовок 4 Знак"/>
    <w:basedOn w:val="772"/>
    <w:link w:val="766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88" w:customStyle="1">
    <w:name w:val="Заголовок 5 Знак"/>
    <w:basedOn w:val="772"/>
    <w:link w:val="767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89" w:customStyle="1">
    <w:name w:val="Заголовок 6 Знак"/>
    <w:basedOn w:val="772"/>
    <w:link w:val="76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90" w:customStyle="1">
    <w:name w:val="Заголовок 7 Знак"/>
    <w:basedOn w:val="772"/>
    <w:link w:val="769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91" w:customStyle="1">
    <w:name w:val="Заголовок 8 Знак"/>
    <w:basedOn w:val="772"/>
    <w:link w:val="77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92" w:customStyle="1">
    <w:name w:val="Заголовок 9 Знак"/>
    <w:basedOn w:val="772"/>
    <w:link w:val="771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93">
    <w:name w:val="Hyperlink"/>
    <w:uiPriority w:val="99"/>
    <w:rPr>
      <w:color w:val="0000ff"/>
      <w:u w:val="single"/>
    </w:rPr>
  </w:style>
  <w:style w:type="table" w:styleId="794">
    <w:name w:val="Table Grid"/>
    <w:basedOn w:val="77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95">
    <w:name w:val="toc 1"/>
    <w:basedOn w:val="762"/>
    <w:next w:val="762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96" w:customStyle="1">
    <w:name w:val="numbered list"/>
    <w:basedOn w:val="797"/>
  </w:style>
  <w:style w:type="paragraph" w:styleId="797" w:customStyle="1">
    <w:name w:val="bullet"/>
    <w:basedOn w:val="762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98">
    <w:name w:val="page number"/>
    <w:rPr>
      <w:rFonts w:ascii="Arial" w:hAnsi="Arial"/>
      <w:sz w:val="16"/>
    </w:rPr>
  </w:style>
  <w:style w:type="paragraph" w:styleId="799" w:customStyle="1">
    <w:name w:val="Doc subtitle1"/>
    <w:basedOn w:val="762"/>
    <w:link w:val="81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00" w:customStyle="1">
    <w:name w:val="Doc subtitle2"/>
    <w:basedOn w:val="762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01" w:customStyle="1">
    <w:name w:val="Doc title"/>
    <w:basedOn w:val="762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02">
    <w:name w:val="Body Text"/>
    <w:basedOn w:val="762"/>
    <w:link w:val="80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03" w:customStyle="1">
    <w:name w:val="Основной текст Знак"/>
    <w:basedOn w:val="772"/>
    <w:link w:val="802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04">
    <w:name w:val="Body Text Indent 2"/>
    <w:basedOn w:val="762"/>
    <w:link w:val="805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05" w:customStyle="1">
    <w:name w:val="Основной текст с отступом 2 Знак"/>
    <w:basedOn w:val="772"/>
    <w:link w:val="804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06">
    <w:name w:val="Body Text 2"/>
    <w:basedOn w:val="762"/>
    <w:link w:val="80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07" w:customStyle="1">
    <w:name w:val="Основной текст 2 Знак"/>
    <w:basedOn w:val="772"/>
    <w:link w:val="806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08">
    <w:name w:val="Caption"/>
    <w:basedOn w:val="762"/>
    <w:next w:val="762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09" w:customStyle="1">
    <w:name w:val="Абзац списка1"/>
    <w:basedOn w:val="762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10" w:customStyle="1">
    <w:name w:val="Doc subtitle1 Char"/>
    <w:link w:val="799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11">
    <w:name w:val="footnote text"/>
    <w:basedOn w:val="762"/>
    <w:link w:val="812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2" w:customStyle="1">
    <w:name w:val="Текст сноски Знак"/>
    <w:basedOn w:val="772"/>
    <w:link w:val="811"/>
    <w:rPr>
      <w:rFonts w:ascii="Times New Roman" w:hAnsi="Times New Roman" w:eastAsia="Times New Roman" w:cs="Times New Roman"/>
      <w:szCs w:val="20"/>
      <w:lang w:eastAsia="ru-RU"/>
    </w:rPr>
  </w:style>
  <w:style w:type="character" w:styleId="813">
    <w:name w:val="footnote reference"/>
    <w:rPr>
      <w:vertAlign w:val="superscript"/>
    </w:rPr>
  </w:style>
  <w:style w:type="character" w:styleId="814">
    <w:name w:val="FollowedHyperlink"/>
    <w:rPr>
      <w:color w:val="800080"/>
      <w:u w:val="single"/>
    </w:rPr>
  </w:style>
  <w:style w:type="paragraph" w:styleId="815" w:customStyle="1">
    <w:name w:val="цветной текст"/>
    <w:basedOn w:val="762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16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17" w:customStyle="1">
    <w:name w:val="выделение цвет"/>
    <w:basedOn w:val="762"/>
    <w:link w:val="830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18" w:customStyle="1">
    <w:name w:val="цвет в таблице"/>
    <w:rPr>
      <w:color w:val="2c8de6"/>
    </w:rPr>
  </w:style>
  <w:style w:type="paragraph" w:styleId="819">
    <w:name w:val="TOC Heading"/>
    <w:basedOn w:val="763"/>
    <w:next w:val="762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20">
    <w:name w:val="toc 2"/>
    <w:basedOn w:val="762"/>
    <w:next w:val="762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21">
    <w:name w:val="toc 3"/>
    <w:basedOn w:val="762"/>
    <w:next w:val="762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22" w:customStyle="1">
    <w:name w:val="!Заголовок-1"/>
    <w:basedOn w:val="763"/>
    <w:link w:val="824"/>
    <w:qFormat/>
    <w:rPr>
      <w:lang w:val="ru-RU"/>
    </w:rPr>
  </w:style>
  <w:style w:type="paragraph" w:styleId="823" w:customStyle="1">
    <w:name w:val="!заголовок-2"/>
    <w:basedOn w:val="764"/>
    <w:link w:val="826"/>
    <w:qFormat/>
    <w:rPr>
      <w:lang w:val="ru-RU"/>
    </w:rPr>
  </w:style>
  <w:style w:type="character" w:styleId="824" w:customStyle="1">
    <w:name w:val="!Заголовок-1 Знак"/>
    <w:link w:val="822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25" w:customStyle="1">
    <w:name w:val="!Текст"/>
    <w:basedOn w:val="762"/>
    <w:link w:val="828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26" w:customStyle="1">
    <w:name w:val="!заголовок-2 Знак"/>
    <w:link w:val="823"/>
    <w:rPr>
      <w:rFonts w:ascii="Arial" w:hAnsi="Arial" w:eastAsia="Times New Roman" w:cs="Times New Roman"/>
      <w:b/>
      <w:sz w:val="28"/>
      <w:szCs w:val="24"/>
    </w:rPr>
  </w:style>
  <w:style w:type="paragraph" w:styleId="827" w:customStyle="1">
    <w:name w:val="!Синий заголовок текста"/>
    <w:basedOn w:val="817"/>
    <w:link w:val="831"/>
    <w:qFormat/>
  </w:style>
  <w:style w:type="character" w:styleId="828" w:customStyle="1">
    <w:name w:val="!Текст Знак"/>
    <w:link w:val="825"/>
    <w:rPr>
      <w:rFonts w:ascii="Times New Roman" w:hAnsi="Times New Roman" w:eastAsia="Times New Roman" w:cs="Times New Roman"/>
      <w:szCs w:val="20"/>
      <w:lang w:eastAsia="ru-RU"/>
    </w:rPr>
  </w:style>
  <w:style w:type="paragraph" w:styleId="829" w:customStyle="1">
    <w:name w:val="!Список с точками"/>
    <w:basedOn w:val="762"/>
    <w:link w:val="833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30" w:customStyle="1">
    <w:name w:val="выделение цвет Знак"/>
    <w:link w:val="81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31" w:customStyle="1">
    <w:name w:val="!Синий заголовок текста Знак"/>
    <w:link w:val="82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32">
    <w:name w:val="List Paragraph"/>
    <w:basedOn w:val="76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33" w:customStyle="1">
    <w:name w:val="!Список с точками Знак"/>
    <w:link w:val="829"/>
    <w:rPr>
      <w:rFonts w:ascii="Times New Roman" w:hAnsi="Times New Roman" w:eastAsia="Times New Roman" w:cs="Times New Roman"/>
      <w:szCs w:val="20"/>
      <w:lang w:eastAsia="ru-RU"/>
    </w:rPr>
  </w:style>
  <w:style w:type="paragraph" w:styleId="834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35" w:customStyle="1">
    <w:name w:val="Интернет-ссылка"/>
    <w:rPr>
      <w:color w:val="0000ff"/>
      <w:u w:val="single"/>
      <w:lang w:val="ru-RU" w:eastAsia="ru-RU" w:bidi="ru-RU"/>
    </w:rPr>
  </w:style>
  <w:style w:type="character" w:styleId="836">
    <w:name w:val="annotation reference"/>
    <w:basedOn w:val="772"/>
    <w:semiHidden/>
    <w:unhideWhenUsed/>
    <w:rPr>
      <w:sz w:val="16"/>
      <w:szCs w:val="16"/>
    </w:rPr>
  </w:style>
  <w:style w:type="paragraph" w:styleId="837">
    <w:name w:val="annotation text"/>
    <w:basedOn w:val="762"/>
    <w:link w:val="838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38" w:customStyle="1">
    <w:name w:val="Текст примечания Знак"/>
    <w:basedOn w:val="772"/>
    <w:link w:val="83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9">
    <w:name w:val="annotation subject"/>
    <w:basedOn w:val="837"/>
    <w:next w:val="837"/>
    <w:link w:val="840"/>
    <w:semiHidden/>
    <w:unhideWhenUsed/>
    <w:rPr>
      <w:b/>
      <w:bCs/>
    </w:rPr>
  </w:style>
  <w:style w:type="character" w:styleId="840" w:customStyle="1">
    <w:name w:val="Тема примечания Знак"/>
    <w:basedOn w:val="838"/>
    <w:link w:val="83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41" w:customStyle="1">
    <w:name w:val="Lista Black"/>
    <w:basedOn w:val="802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42" w:customStyle="1">
    <w:name w:val="Основной текст (14)_"/>
    <w:basedOn w:val="772"/>
    <w:link w:val="843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43" w:customStyle="1">
    <w:name w:val="Основной текст (14)_3"/>
    <w:basedOn w:val="762"/>
    <w:link w:val="842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44" w:customStyle="1">
    <w:name w:val="Неразрешенное упоминание1"/>
    <w:basedOn w:val="772"/>
    <w:uiPriority w:val="99"/>
    <w:semiHidden/>
    <w:unhideWhenUsed/>
    <w:rPr>
      <w:color w:val="605e5c"/>
      <w:shd w:val="clear" w:color="auto" w:fill="e1dfdd"/>
    </w:rPr>
  </w:style>
  <w:style w:type="character" w:styleId="845" w:customStyle="1">
    <w:name w:val="Неразрешенное упоминание2"/>
    <w:basedOn w:val="772"/>
    <w:uiPriority w:val="99"/>
    <w:semiHidden/>
    <w:unhideWhenUsed/>
    <w:rPr>
      <w:color w:val="605e5c"/>
      <w:shd w:val="clear" w:color="auto" w:fill="e1dfdd"/>
    </w:rPr>
  </w:style>
  <w:style w:type="character" w:styleId="846" w:customStyle="1">
    <w:name w:val="Основной текст (2)_"/>
    <w:basedOn w:val="772"/>
    <w:link w:val="847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47" w:customStyle="1">
    <w:name w:val="Основной текст (2)_4"/>
    <w:basedOn w:val="762"/>
    <w:link w:val="846"/>
    <w:pPr>
      <w:ind w:hanging="56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48" w:customStyle="1">
    <w:name w:val="Основной текст (2)"/>
    <w:basedOn w:val="846"/>
    <w:rPr>
      <w:rFonts w:ascii="Segoe UI" w:hAnsi="Segoe UI" w:eastAsia="Segoe UI" w:cs="Segoe UI"/>
      <w:color w:val="000000"/>
      <w:spacing w:val="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3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4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5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6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7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8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19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0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1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2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3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4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5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6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7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8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Relationship Id="rId29" Type="http://schemas.openxmlformats.org/officeDocument/2006/relationships/hyperlink" Target="file:///F:\FILE\DOC\1SEAGATE%201\1WORLDSKILLS\1&#1060;&#1048;&#1056;&#1055;&#1054;\2023\&#1052;&#1072;&#1090;&#1088;&#1080;&#1094;&#1072;%20&#1051;&#1058;.xls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1143-2021-4F13-8304-C221C2F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Гайдаев</cp:lastModifiedBy>
  <cp:revision>55</cp:revision>
  <dcterms:created xsi:type="dcterms:W3CDTF">2023-01-29T19:39:00Z</dcterms:created>
  <dcterms:modified xsi:type="dcterms:W3CDTF">2023-02-28T15:16:52Z</dcterms:modified>
</cp:coreProperties>
</file>