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ОПИСАНИЕ КОМПЕТЕНЦИИ</w:t>
      </w:r>
      <w:r/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«</w:t>
      </w:r>
      <w:r>
        <w:rPr>
          <w:rFonts w:ascii="Times New Roman" w:hAnsi="Times New Roman" w:cs="Times New Roman"/>
          <w:sz w:val="72"/>
          <w:szCs w:val="72"/>
        </w:rPr>
        <w:t xml:space="preserve">МАШИННОЕ ОБУЧЕНИЕ И БОЛЬШИЕ ДАННЫЕ</w:t>
      </w:r>
      <w:r>
        <w:rPr>
          <w:rFonts w:ascii="Times New Roman" w:hAnsi="Times New Roman" w:cs="Times New Roman"/>
          <w:sz w:val="72"/>
          <w:szCs w:val="72"/>
        </w:rPr>
        <w:t xml:space="preserve">»</w:t>
      </w:r>
      <w:r/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  <w:r/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  <w:r/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  <w:r/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  <w:r/>
    </w:p>
    <w:p>
      <w:pPr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/>
    </w:p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Наименование компетенции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Машинное обучение и большие данные</w:t>
      </w:r>
      <w:r/>
    </w:p>
    <w:p>
      <w:pPr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Формат участия в соревновании</w:t>
      </w:r>
      <w:r>
        <w:rPr>
          <w:rFonts w:ascii="Times New Roman" w:hAnsi="Times New Roman" w:eastAsia="Calibri" w:cs="Times New Roman"/>
          <w:sz w:val="28"/>
          <w:szCs w:val="28"/>
        </w:rPr>
        <w:t xml:space="preserve">: индивидуальный </w:t>
      </w:r>
      <w:r/>
    </w:p>
    <w:p>
      <w:pPr>
        <w:jc w:val="both"/>
        <w:spacing w:after="0" w:line="276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Описание компетенции</w:t>
      </w:r>
      <w:r>
        <w:rPr>
          <w:rFonts w:ascii="Times New Roman" w:hAnsi="Times New Roman" w:eastAsia="Calibri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76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Машинное обучение определяется как построение компьютерных алгоритмов, которые могут автоматически улучшаться с помощью опыта и использования данных.</w:t>
      </w:r>
      <w:r/>
    </w:p>
    <w:p>
      <w:pPr>
        <w:ind w:firstLine="709"/>
        <w:jc w:val="both"/>
        <w:spacing w:after="0" w:line="276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контексте больших данных машинное обучение используется для обработки больших объемов данных, поиску закономерностей и извлечению из них ключевой актуальной информации.</w:t>
      </w:r>
      <w:r/>
    </w:p>
    <w:p>
      <w:pPr>
        <w:ind w:firstLine="709"/>
        <w:jc w:val="both"/>
        <w:spacing w:after="0" w:line="276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специалиста по машинному обучению и большим данным – создание информационных технологий нового поколения, обеспечивающих экономически эффективное извлечение полезной информации из больших о</w:t>
      </w:r>
      <w:r>
        <w:rPr>
          <w:rFonts w:ascii="Times New Roman" w:hAnsi="Times New Roman" w:cs="Times New Roman"/>
          <w:sz w:val="28"/>
          <w:szCs w:val="28"/>
        </w:rPr>
        <w:t xml:space="preserve">бъемов разнообразных данных путем высокой скорости их сбора, обработки и анализа, и применение этих технологий в информационно-аналитической деятельности, в системах управления и принятия решений, а также для разработки на их основе новых продуктов и услуг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76" w:lineRule="auto"/>
        <w:tabs>
          <w:tab w:val="left" w:pos="1134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Задачи компетенции заключаются в постановке и нахождении путей решения прикладных задач с использованием современных инструментов работы с большими данными.</w:t>
      </w:r>
      <w:r/>
    </w:p>
    <w:p>
      <w:pPr>
        <w:ind w:firstLine="709"/>
        <w:jc w:val="both"/>
        <w:spacing w:after="0" w:line="276" w:lineRule="auto"/>
        <w:shd w:val="clear" w:color="auto" w:fill="ffffff"/>
        <w:tabs>
          <w:tab w:val="left" w:pos="1134" w:leader="none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Машинное обучение 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machine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learning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лежит в основе многих инновационных технологий различных секторов экономики. Лучшие практики использования машинного обучения:</w:t>
      </w:r>
      <w:r/>
    </w:p>
    <w:p>
      <w:pPr>
        <w:pStyle w:val="676"/>
        <w:numPr>
          <w:ilvl w:val="0"/>
          <w:numId w:val="2"/>
        </w:numPr>
        <w:contextualSpacing w:val="0"/>
        <w:ind w:left="0" w:firstLine="709"/>
        <w:jc w:val="both"/>
        <w:spacing w:after="0"/>
        <w:shd w:val="clear" w:color="auto" w:fill="ffffff"/>
        <w:tabs>
          <w:tab w:val="left" w:pos="1134" w:leader="none"/>
        </w:tabs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промышленности (минимизация простоев на производстве, системы управления производством, выявление угроз безопасности);</w:t>
      </w:r>
      <w:r/>
    </w:p>
    <w:p>
      <w:pPr>
        <w:pStyle w:val="676"/>
        <w:numPr>
          <w:ilvl w:val="0"/>
          <w:numId w:val="2"/>
        </w:numPr>
        <w:contextualSpacing w:val="0"/>
        <w:ind w:left="0" w:firstLine="709"/>
        <w:jc w:val="both"/>
        <w:spacing w:after="0"/>
        <w:shd w:val="clear" w:color="auto" w:fill="ffffff"/>
        <w:tabs>
          <w:tab w:val="left" w:pos="1134" w:leader="none"/>
        </w:tabs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финансах (обнаружение мошенничества для безопасных транзакций, алгоритмическая торговля – анализ настроений, финансовые консультации и управление портфелем, оценка кредитоспособности);</w:t>
      </w:r>
      <w:r/>
    </w:p>
    <w:p>
      <w:pPr>
        <w:pStyle w:val="676"/>
        <w:numPr>
          <w:ilvl w:val="0"/>
          <w:numId w:val="2"/>
        </w:numPr>
        <w:contextualSpacing w:val="0"/>
        <w:ind w:left="0" w:firstLine="709"/>
        <w:jc w:val="both"/>
        <w:spacing w:after="0"/>
        <w:shd w:val="clear" w:color="auto" w:fill="ffffff"/>
        <w:tabs>
          <w:tab w:val="left" w:pos="1134" w:leader="none"/>
        </w:tabs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здравоохранении (диагностика заболеваний; автоматические роботизированные операции; улучшение клиентского сервиса);</w:t>
      </w:r>
      <w:r/>
    </w:p>
    <w:p>
      <w:pPr>
        <w:pStyle w:val="676"/>
        <w:numPr>
          <w:ilvl w:val="0"/>
          <w:numId w:val="2"/>
        </w:numPr>
        <w:contextualSpacing w:val="0"/>
        <w:ind w:left="0" w:firstLine="709"/>
        <w:jc w:val="both"/>
        <w:spacing w:after="0"/>
        <w:shd w:val="clear" w:color="auto" w:fill="ffffff"/>
        <w:tabs>
          <w:tab w:val="left" w:pos="1134" w:leader="none"/>
        </w:tabs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ритейле и маркетинге (прогнозирование действий покупателей, персонализированные предложения и реклама, прогнозирование спроса и автоматизация закупок);</w:t>
      </w:r>
      <w:r/>
    </w:p>
    <w:p>
      <w:pPr>
        <w:pStyle w:val="676"/>
        <w:numPr>
          <w:ilvl w:val="0"/>
          <w:numId w:val="2"/>
        </w:numPr>
        <w:contextualSpacing w:val="0"/>
        <w:ind w:left="0" w:firstLine="709"/>
        <w:jc w:val="both"/>
        <w:spacing w:after="0"/>
        <w:shd w:val="clear" w:color="auto" w:fill="ffffff"/>
        <w:tabs>
          <w:tab w:val="left" w:pos="1134" w:leader="none"/>
        </w:tabs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логистике (экономия топлива и повышение производительности транспорта, предотвращение сбоев в поставках).</w:t>
      </w:r>
      <w:r/>
    </w:p>
    <w:p>
      <w:pPr>
        <w:pStyle w:val="682"/>
        <w:ind w:firstLine="709"/>
        <w:jc w:val="both"/>
        <w:spacing w:before="0" w:beforeAutospacing="0" w:after="0" w:afterAutospacing="0" w:line="276" w:lineRule="auto"/>
        <w:shd w:val="clear" w:color="auto" w:fill="ffffff"/>
        <w:tabs>
          <w:tab w:val="left" w:pos="1134" w:leader="none"/>
        </w:tabs>
        <w:rPr>
          <w:color w:val="292828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Актуальность компетенции «Машинное обучение и большие данные» связана в первую очередь с растущим количеством информации, </w:t>
      </w:r>
      <w:r>
        <w:rPr>
          <w:rFonts w:eastAsiaTheme="minorHAnsi"/>
          <w:sz w:val="28"/>
          <w:szCs w:val="28"/>
          <w:lang w:eastAsia="en-US"/>
        </w:rPr>
        <w:t xml:space="preserve">необходимостью её</w:t>
      </w:r>
      <w:r>
        <w:rPr>
          <w:color w:val="000000"/>
          <w:sz w:val="28"/>
          <w:szCs w:val="28"/>
        </w:rPr>
        <w:t xml:space="preserve"> обработки и анализа, а также бурным развитием инноваций.</w:t>
      </w:r>
      <w:r/>
    </w:p>
    <w:p>
      <w:pPr>
        <w:ind w:firstLine="709"/>
        <w:jc w:val="both"/>
        <w:spacing w:after="0" w:line="276" w:lineRule="auto"/>
        <w:tabs>
          <w:tab w:val="left" w:pos="1134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Используя язык программирования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Python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среду разработки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Jupyter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Notebook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инструменты хранения и извлечения данных SQL,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PySpark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инструменты визуализации данных и библиотеки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numpy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Scikit-Learn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Keras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Catboost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специалисты этой компетенции применяют алгоритмы машинного обучения для задач классификации и регрессии, оценивают качество обученных моделей, настраивают параметры и применяют нейронные сети для решения прикладных задач.</w:t>
      </w:r>
      <w:r/>
    </w:p>
    <w:p>
      <w:pPr>
        <w:ind w:firstLine="709"/>
        <w:jc w:val="both"/>
        <w:spacing w:after="0" w:line="276" w:lineRule="auto"/>
        <w:tabs>
          <w:tab w:val="left" w:pos="1134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jc w:val="both"/>
        <w:keepNext/>
        <w:spacing w:after="0" w:line="276" w:lineRule="auto"/>
        <w:rPr>
          <w:rFonts w:ascii="Times New Roman" w:hAnsi="Times New Roman" w:eastAsia="Times New Roman" w:cs="Times New Roman"/>
          <w:b/>
          <w:caps/>
          <w:sz w:val="28"/>
          <w:szCs w:val="28"/>
        </w:rPr>
        <w:outlineLvl w:val="1"/>
      </w:pPr>
      <w:r/>
      <w:bookmarkStart w:id="0" w:name="_Toc123113308"/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Нормативные правовые акты</w:t>
      </w:r>
      <w:bookmarkEnd w:id="0"/>
      <w:r/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Поскольку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Описание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  <w:r/>
    </w:p>
    <w:p>
      <w:pPr>
        <w:pStyle w:val="676"/>
        <w:numPr>
          <w:ilvl w:val="0"/>
          <w:numId w:val="4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ФГОС СПО</w:t>
      </w:r>
      <w:r/>
    </w:p>
    <w:p>
      <w:pPr>
        <w:numPr>
          <w:ilvl w:val="0"/>
          <w:numId w:val="1"/>
        </w:numPr>
        <w:ind w:left="0" w:firstLine="709"/>
        <w:jc w:val="both"/>
        <w:spacing w:after="0" w:line="276" w:lineRule="auto"/>
        <w:tabs>
          <w:tab w:val="left" w:pos="1134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09.02.07 Информационные системы и программирование (</w:t>
      </w:r>
      <w:r>
        <w:rPr>
          <w:rFonts w:ascii="Times New Roman" w:hAnsi="Times New Roman" w:eastAsia="Calibri" w:cs="Times New Roman"/>
          <w:sz w:val="28"/>
          <w:szCs w:val="28"/>
        </w:rPr>
        <w:t xml:space="preserve">Приказ Минобрнауки России от 09.12.2016 N 1547 (ред. от 17.12.2020)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Зарегистрировано в Минюсте России 26 декабря 2016 г. N 44936);</w:t>
      </w:r>
      <w:r/>
    </w:p>
    <w:p>
      <w:pPr>
        <w:pStyle w:val="676"/>
        <w:numPr>
          <w:ilvl w:val="0"/>
          <w:numId w:val="4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Профессиональный</w:t>
      </w:r>
      <w:r>
        <w:rPr>
          <w:rFonts w:ascii="Times New Roman" w:hAnsi="Times New Roman"/>
          <w:sz w:val="28"/>
          <w:szCs w:val="28"/>
        </w:rPr>
        <w:t xml:space="preserve"> стандарт</w:t>
      </w:r>
      <w:r/>
    </w:p>
    <w:p>
      <w:pPr>
        <w:pStyle w:val="676"/>
        <w:numPr>
          <w:ilvl w:val="0"/>
          <w:numId w:val="5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06.042 Специалист по большим данным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Cs/>
          <w:sz w:val="28"/>
          <w:szCs w:val="28"/>
        </w:rPr>
        <w:t xml:space="preserve">УТВЕРЖДЕН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приказом Министерства труда и социальной защиты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Российской Федерации от 6 июля 2020 года N 405н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676"/>
        <w:numPr>
          <w:ilvl w:val="0"/>
          <w:numId w:val="5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6.001 «Программист», утвержден Министерством труда и социальной защиты РФ от 20 июля 2022 года № 424н;</w:t>
      </w:r>
      <w:r/>
    </w:p>
    <w:p>
      <w:pPr>
        <w:pStyle w:val="676"/>
        <w:numPr>
          <w:ilvl w:val="0"/>
          <w:numId w:val="5"/>
        </w:numPr>
        <w:ind w:left="0" w:firstLine="709"/>
        <w:jc w:val="both"/>
        <w:spacing w:after="0" w:line="240" w:lineRule="auto"/>
        <w:shd w:val="clear" w:color="auto" w:fill="ffffff"/>
        <w:tabs>
          <w:tab w:val="left" w:pos="1134" w:leader="none"/>
        </w:tabs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6.015 «Специалист по информационным системам», Утвержден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Приказом Министерства труда и социальной защиты Российской</w:t>
      </w:r>
      <w:r/>
    </w:p>
    <w:p>
      <w:pPr>
        <w:pStyle w:val="676"/>
        <w:ind w:left="0" w:firstLine="709"/>
        <w:jc w:val="both"/>
        <w:spacing w:after="0" w:line="240" w:lineRule="auto"/>
        <w:shd w:val="clear" w:color="auto" w:fill="ffffff"/>
        <w:tabs>
          <w:tab w:val="left" w:pos="1134" w:leader="none"/>
        </w:tabs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Федерации №896н от 18.11.2014;</w:t>
      </w:r>
      <w:r/>
    </w:p>
    <w:p>
      <w:pPr>
        <w:pStyle w:val="676"/>
        <w:numPr>
          <w:ilvl w:val="0"/>
          <w:numId w:val="5"/>
        </w:numPr>
        <w:ind w:left="0" w:firstLine="709"/>
        <w:jc w:val="both"/>
        <w:spacing w:after="0" w:line="240" w:lineRule="auto"/>
        <w:shd w:val="clear" w:color="auto" w:fill="ffffff"/>
        <w:tabs>
          <w:tab w:val="left" w:pos="1134" w:leader="none"/>
        </w:tabs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6.022 «Системный аналитик», утвержден приказом Министерства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труда и социальной защиты РФ 28.10.2014 № 809н;</w:t>
      </w:r>
      <w:r/>
    </w:p>
    <w:p>
      <w:pPr>
        <w:pStyle w:val="676"/>
        <w:numPr>
          <w:ilvl w:val="0"/>
          <w:numId w:val="4"/>
        </w:numPr>
        <w:ind w:left="0" w:firstLine="709"/>
        <w:jc w:val="both"/>
        <w:spacing w:after="0"/>
        <w:tabs>
          <w:tab w:val="left" w:pos="1134" w:leader="none"/>
        </w:tabs>
        <w:rPr>
          <w:rFonts w:ascii="Helvetica" w:hAnsi="Helvetica" w:eastAsia="Times New Roman"/>
          <w:color w:val="1a1a1a"/>
          <w:sz w:val="23"/>
          <w:szCs w:val="23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ЕКС</w:t>
      </w:r>
      <w:r/>
    </w:p>
    <w:p>
      <w:pPr>
        <w:pStyle w:val="676"/>
        <w:numPr>
          <w:ilvl w:val="0"/>
          <w:numId w:val="5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Техник-программист, Единый квалификационный справочник должностей руководителей, специалистов и других служащих (ЕКС), 2019, утвержден Постановлением Минтруда РФ от 21.08.1998 N 37 (редакция от 15.05.2013);</w:t>
      </w:r>
      <w:r/>
    </w:p>
    <w:p>
      <w:pPr>
        <w:pStyle w:val="676"/>
        <w:numPr>
          <w:ilvl w:val="0"/>
          <w:numId w:val="5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Инженер-программист (программист), Единый квалификационный справочник должностей руководителей, специалистов и других служащих (ЕКС), 2019, утвержден Постановлением Минтруда РФ от 21.08.1998 N 37 (редакция от 15.05.2013</w:t>
      </w:r>
      <w:r>
        <w:rPr>
          <w:rFonts w:ascii="Times New Roman" w:hAnsi="Times New Roman"/>
          <w:iCs/>
          <w:sz w:val="28"/>
          <w:szCs w:val="28"/>
        </w:rPr>
        <w:t xml:space="preserve">)</w:t>
      </w:r>
      <w:r/>
    </w:p>
    <w:p>
      <w:pPr>
        <w:ind w:firstLine="709"/>
        <w:jc w:val="both"/>
        <w:spacing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76"/>
        <w:numPr>
          <w:ilvl w:val="0"/>
          <w:numId w:val="4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Квалификационные</w:t>
      </w:r>
      <w:r>
        <w:rPr>
          <w:rFonts w:ascii="Times New Roman" w:hAnsi="Times New Roman"/>
          <w:sz w:val="28"/>
          <w:szCs w:val="28"/>
        </w:rPr>
        <w:t xml:space="preserve"> характеристики (</w:t>
      </w:r>
      <w:r>
        <w:rPr>
          <w:rFonts w:ascii="Times New Roman" w:hAnsi="Times New Roman"/>
          <w:sz w:val="28"/>
          <w:szCs w:val="28"/>
        </w:rPr>
        <w:t xml:space="preserve">профессиограмма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676"/>
        <w:numPr>
          <w:ilvl w:val="0"/>
          <w:numId w:val="5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Содержание</w:t>
      </w:r>
      <w:r>
        <w:rPr>
          <w:rFonts w:ascii="Times New Roman" w:hAnsi="Times New Roman"/>
          <w:sz w:val="28"/>
          <w:szCs w:val="28"/>
        </w:rPr>
        <w:t xml:space="preserve"> труда: осуществляет </w:t>
      </w:r>
      <w:r>
        <w:rPr>
          <w:rFonts w:ascii="Times New Roman" w:hAnsi="Times New Roman"/>
          <w:sz w:val="28"/>
          <w:szCs w:val="28"/>
        </w:rPr>
        <w:t xml:space="preserve">сбор, обработку и анализ больших данных с использованием существующ</w:t>
      </w:r>
      <w:r>
        <w:rPr>
          <w:rFonts w:ascii="Times New Roman" w:hAnsi="Times New Roman"/>
          <w:sz w:val="28"/>
          <w:szCs w:val="28"/>
        </w:rPr>
        <w:t xml:space="preserve">ей в организации методологической и технологической инфраструктуры. Управляет этапами жизненного цикла методологической и технологической инфраструктуры анализа больших данных в организации, разработкой продуктов, услуг и решений на основе больших данных. </w:t>
      </w:r>
      <w:r>
        <w:rPr>
          <w:rFonts w:ascii="Times New Roman" w:hAnsi="Times New Roman"/>
          <w:sz w:val="28"/>
          <w:szCs w:val="28"/>
        </w:rPr>
        <w:t xml:space="preserve">Разрабатывает</w:t>
      </w:r>
      <w:r>
        <w:rPr>
          <w:rFonts w:ascii="Times New Roman" w:hAnsi="Times New Roman"/>
          <w:sz w:val="28"/>
          <w:szCs w:val="28"/>
        </w:rPr>
        <w:t xml:space="preserve"> и внедряет новые методы и технологии исследования больших данных.</w:t>
      </w:r>
      <w:r/>
    </w:p>
    <w:p>
      <w:pPr>
        <w:pStyle w:val="676"/>
        <w:numPr>
          <w:ilvl w:val="0"/>
          <w:numId w:val="5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Профессионально важные качества: Хорошее зрение; оперативная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память;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устойчивое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концентрированное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внимание;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стойкая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работоспособность; дисциплинированность; аналитическое мышление.</w:t>
      </w:r>
      <w:r/>
    </w:p>
    <w:p>
      <w:pPr>
        <w:pStyle w:val="676"/>
        <w:numPr>
          <w:ilvl w:val="0"/>
          <w:numId w:val="5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Квалификационные требования: СПО, ВУЗы.</w:t>
      </w:r>
      <w:r/>
    </w:p>
    <w:p>
      <w:pPr>
        <w:pStyle w:val="676"/>
        <w:numPr>
          <w:ilvl w:val="0"/>
          <w:numId w:val="5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Медицинские противопоказания: Снижение остроты зрения;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нарушение функций щитовидной железы; сердечно-сосудистые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заболевания; болезни крови.</w:t>
      </w:r>
      <w:r/>
    </w:p>
    <w:p>
      <w:pPr>
        <w:pStyle w:val="676"/>
        <w:numPr>
          <w:ilvl w:val="0"/>
          <w:numId w:val="4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ГОСТы</w:t>
      </w:r>
      <w:r/>
    </w:p>
    <w:p>
      <w:pPr>
        <w:pStyle w:val="676"/>
        <w:numPr>
          <w:ilvl w:val="0"/>
          <w:numId w:val="6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ГОСТ</w:t>
      </w:r>
      <w:r>
        <w:rPr>
          <w:rFonts w:ascii="Times New Roman" w:hAnsi="Times New Roman"/>
          <w:sz w:val="28"/>
          <w:szCs w:val="28"/>
        </w:rPr>
        <w:t xml:space="preserve"> Р 59895-2021 «</w:t>
      </w:r>
      <w:r>
        <w:rPr>
          <w:rFonts w:ascii="Times New Roman" w:hAnsi="Times New Roman"/>
          <w:sz w:val="28"/>
          <w:szCs w:val="28"/>
        </w:rPr>
        <w:t xml:space="preserve">Технологии искусственного интеллекта в образовании.</w:t>
      </w:r>
      <w:r>
        <w:rPr>
          <w:rFonts w:ascii="Times New Roman" w:hAnsi="Times New Roman"/>
          <w:sz w:val="28"/>
          <w:szCs w:val="28"/>
        </w:rPr>
        <w:t xml:space="preserve"> Общие положения и терминология»</w:t>
      </w:r>
      <w:r>
        <w:rPr>
          <w:rFonts w:ascii="Times New Roman" w:hAnsi="Times New Roman"/>
          <w:sz w:val="28"/>
          <w:szCs w:val="28"/>
        </w:rPr>
        <w:t xml:space="preserve"> (утв. и введен в действие приказом Федерального агентства по техническому регулированию и метрологии от 26 ноября 2021 г. N 1617-ст)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676"/>
        <w:numPr>
          <w:ilvl w:val="0"/>
          <w:numId w:val="6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Р 52872-2019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Интернет-ресурсы и другая информация, представленная в электронно-цифровой форме. </w:t>
      </w:r>
      <w:r>
        <w:rPr>
          <w:rFonts w:ascii="Times New Roman" w:hAnsi="Times New Roman"/>
          <w:sz w:val="28"/>
          <w:szCs w:val="28"/>
        </w:rPr>
        <w:t xml:space="preserve">Приложения </w:t>
      </w:r>
      <w:r>
        <w:rPr>
          <w:rFonts w:ascii="Times New Roman" w:hAnsi="Times New Roman"/>
          <w:sz w:val="28"/>
          <w:szCs w:val="28"/>
        </w:rPr>
        <w:t xml:space="preserve">для стационарных и мобильных устройств, иные пользовательские интерфейсы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(утв. и введен в действие </w:t>
      </w:r>
      <w:r>
        <w:rPr>
          <w:rFonts w:ascii="Times New Roman" w:hAnsi="Times New Roman"/>
          <w:sz w:val="28"/>
          <w:szCs w:val="28"/>
        </w:rPr>
        <w:t xml:space="preserve">Приказом Федерального агентства по техническому регулированию и метрологии от 29 августа 2019 г. N 589-ст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676"/>
        <w:numPr>
          <w:ilvl w:val="0"/>
          <w:numId w:val="6"/>
        </w:numPr>
        <w:ind w:left="0" w:firstLine="709"/>
        <w:jc w:val="both"/>
        <w:tabs>
          <w:tab w:val="left" w:pos="1134" w:leader="none"/>
        </w:tabs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ГОСТ </w:t>
      </w:r>
      <w:r>
        <w:rPr>
          <w:rFonts w:ascii="Times New Roman" w:hAnsi="Times New Roman"/>
          <w:spacing w:val="-4"/>
          <w:sz w:val="28"/>
          <w:szCs w:val="28"/>
        </w:rPr>
        <w:t xml:space="preserve">Р ИСО/МЭК 90003-2014 «Разработка программных продуктов. Руководящие указания по применению ИСО 9001:2008 при разработке программных продуктов» (утв. приказом Федерального агентства по техническому регулированию и метрологии от 23 октября 2014 г. N 1405-ст)</w:t>
      </w:r>
      <w:r/>
    </w:p>
    <w:p>
      <w:pPr>
        <w:pStyle w:val="676"/>
        <w:numPr>
          <w:ilvl w:val="0"/>
          <w:numId w:val="6"/>
        </w:numPr>
        <w:ind w:left="0"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Р ИСО/МЭК 15910-2002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Информационная технология. Процесс создания документации пользователя программного средства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(Постановлением Госстандарта России от 25 июня 2002 г. N 249-ст)</w:t>
      </w:r>
      <w:r/>
    </w:p>
    <w:p>
      <w:pPr>
        <w:pStyle w:val="676"/>
        <w:numPr>
          <w:ilvl w:val="0"/>
          <w:numId w:val="4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Санитарно-эпидемиологические правила и нормативы СанПиН 2.2.2/2.4.2620-10</w:t>
      </w:r>
      <w:r/>
    </w:p>
    <w:p>
      <w:pPr>
        <w:numPr>
          <w:ilvl w:val="0"/>
          <w:numId w:val="1"/>
        </w:numPr>
        <w:ind w:left="0" w:firstLine="709"/>
        <w:jc w:val="both"/>
        <w:spacing w:after="0" w:line="276" w:lineRule="auto"/>
        <w:tabs>
          <w:tab w:val="left" w:pos="1134" w:leader="none"/>
        </w:tabs>
        <w:rPr>
          <w:rFonts w:ascii="Times New Roman" w:hAnsi="Times New Roman" w:eastAsia="Calibri" w:cs="Times New Roman"/>
          <w:sz w:val="28"/>
          <w:szCs w:val="28"/>
          <w:vertAlign w:val="subscript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«</w:t>
      </w:r>
      <w:r>
        <w:rPr>
          <w:rFonts w:ascii="Times New Roman" w:hAnsi="Times New Roman" w:eastAsia="Calibri" w:cs="Times New Roman"/>
          <w:sz w:val="28"/>
          <w:szCs w:val="28"/>
        </w:rPr>
        <w:t xml:space="preserve">Гигиенические требования к персональным электронно-вычислитель</w:t>
      </w:r>
      <w:r>
        <w:rPr>
          <w:rFonts w:ascii="Times New Roman" w:hAnsi="Times New Roman" w:eastAsia="Calibri" w:cs="Times New Roman"/>
          <w:sz w:val="28"/>
          <w:szCs w:val="28"/>
        </w:rPr>
        <w:t xml:space="preserve">ным машинам и организации работ» </w:t>
      </w:r>
      <w:r>
        <w:rPr>
          <w:rFonts w:ascii="Times New Roman" w:hAnsi="Times New Roman" w:eastAsia="Calibri" w:cs="Times New Roman"/>
          <w:sz w:val="28"/>
          <w:szCs w:val="28"/>
        </w:rPr>
        <w:t xml:space="preserve">Изменения N 2 </w:t>
      </w:r>
      <w:r>
        <w:rPr>
          <w:rFonts w:ascii="Times New Roman" w:hAnsi="Times New Roman" w:eastAsia="Calibri" w:cs="Times New Roman"/>
          <w:sz w:val="28"/>
          <w:szCs w:val="28"/>
        </w:rPr>
        <w:t xml:space="preserve">к СанПиН</w:t>
      </w:r>
      <w:r>
        <w:rPr>
          <w:rFonts w:ascii="Times New Roman" w:hAnsi="Times New Roman" w:eastAsia="Calibri" w:cs="Times New Roman"/>
          <w:sz w:val="28"/>
          <w:szCs w:val="28"/>
        </w:rPr>
        <w:t xml:space="preserve"> 2.2.2/2.4.1340-03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(утв. постановлением Главного государственного санитарного врача РФ от 30 апреля 2010 г. N 48) </w:t>
      </w:r>
      <w:r/>
    </w:p>
    <w:p>
      <w:pPr>
        <w:pStyle w:val="676"/>
        <w:numPr>
          <w:ilvl w:val="0"/>
          <w:numId w:val="1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Санитарные правила</w:t>
      </w:r>
      <w:r>
        <w:rPr>
          <w:rFonts w:ascii="Times New Roman" w:hAnsi="Times New Roman"/>
          <w:sz w:val="28"/>
          <w:szCs w:val="28"/>
        </w:rPr>
        <w:t xml:space="preserve"> СП 2.2.3670-20 «</w:t>
      </w:r>
      <w:r>
        <w:rPr>
          <w:rFonts w:ascii="Times New Roman" w:hAnsi="Times New Roman"/>
          <w:sz w:val="28"/>
          <w:szCs w:val="28"/>
        </w:rPr>
        <w:t xml:space="preserve">Санитарно-эпидемиологичес</w:t>
      </w:r>
      <w:r>
        <w:rPr>
          <w:rFonts w:ascii="Times New Roman" w:hAnsi="Times New Roman"/>
          <w:sz w:val="28"/>
          <w:szCs w:val="28"/>
        </w:rPr>
        <w:t xml:space="preserve">кие требования к условиям труда» (</w:t>
      </w:r>
      <w:r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18.05.2009 N 30 "Об утверждении СП 2.2.9.2510-09" (зарегистрировано Минюстом России 09.06</w:t>
      </w:r>
      <w:r>
        <w:rPr>
          <w:rFonts w:ascii="Times New Roman" w:hAnsi="Times New Roman"/>
          <w:sz w:val="28"/>
          <w:szCs w:val="28"/>
        </w:rPr>
        <w:t xml:space="preserve">.2009, регистрационный N 14036))</w:t>
      </w:r>
      <w:r/>
    </w:p>
    <w:p>
      <w:pPr>
        <w:ind w:firstLine="709"/>
        <w:jc w:val="both"/>
        <w:keepNext/>
        <w:spacing w:after="0" w:line="276" w:lineRule="auto"/>
        <w:tabs>
          <w:tab w:val="left" w:pos="1134" w:leader="none"/>
        </w:tabs>
        <w:rPr>
          <w:rFonts w:ascii="Times New Roman" w:hAnsi="Times New Roman" w:eastAsia="Times New Roman" w:cs="Times New Roman"/>
          <w:bCs/>
          <w:i/>
          <w:iCs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Cs/>
          <w:i/>
          <w:iCs/>
          <w:sz w:val="28"/>
          <w:szCs w:val="28"/>
        </w:rPr>
      </w:r>
      <w:r/>
    </w:p>
    <w:p>
      <w:pPr>
        <w:ind w:firstLine="709"/>
        <w:jc w:val="both"/>
        <w:keepNext/>
        <w:spacing w:after="0" w:line="276" w:lineRule="auto"/>
        <w:tabs>
          <w:tab w:val="left" w:pos="1134" w:leader="none"/>
        </w:tabs>
        <w:rPr>
          <w:rFonts w:ascii="Times New Roman" w:hAnsi="Times New Roman" w:eastAsia="Calibri" w:cs="Times New Roman"/>
          <w:i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Перечень профессиональных задач специалиста по компетенции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eastAsia="Calibri" w:cs="Times New Roman"/>
          <w:sz w:val="28"/>
          <w:szCs w:val="28"/>
        </w:rPr>
        <w:t xml:space="preserve">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ascii="Times New Roman" w:hAnsi="Times New Roman" w:eastAsia="Calibri" w:cs="Times New Roman"/>
          <w:i/>
          <w:sz w:val="28"/>
          <w:szCs w:val="28"/>
        </w:rPr>
        <w:t xml:space="preserve">. </w:t>
      </w:r>
      <w:r/>
    </w:p>
    <w:p>
      <w:pPr>
        <w:ind w:firstLine="709"/>
        <w:jc w:val="both"/>
        <w:keepNext/>
        <w:spacing w:after="0" w:line="276" w:lineRule="auto"/>
        <w:rPr>
          <w:rFonts w:ascii="Times New Roman" w:hAnsi="Times New Roman" w:eastAsia="Calibri" w:cs="Times New Roman"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i/>
          <w:sz w:val="28"/>
          <w:szCs w:val="28"/>
        </w:rPr>
      </w:r>
      <w:r/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>
        <w:trPr/>
        <w:tc>
          <w:tcPr>
            <w:shd w:val="clear" w:color="auto" w:fill="92d050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color="auto" w:fill="92d050"/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  <w:t xml:space="preserve">Виды деятельности/трудовые функции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jc w:val="both"/>
              <w:keepNext/>
              <w:spacing w:after="0"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Подготовка данных для проведения аналитических работ по исследованию больших данных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jc w:val="both"/>
              <w:keepNext/>
              <w:spacing w:after="0"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Планирование и организация аналитических работ с использованием технологий больших данных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jc w:val="both"/>
              <w:keepNext/>
              <w:spacing w:after="0"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Проведение аналитического исследования с применением технологий больших данных в соответствии с требованиями заказчика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 xml:space="preserve">4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jc w:val="both"/>
              <w:keepNext/>
              <w:spacing w:after="0"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Разработка продуктов на основе встроенной аналитики больших данных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jc w:val="both"/>
              <w:keepNext/>
              <w:spacing w:after="0"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Разработка инфраструктурных решений на основе аналитики больших данных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jc w:val="both"/>
              <w:keepNext/>
              <w:spacing w:after="0"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Подготовка данных для проведения аналитических работ по исследованию больших данных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  <w:r/>
      <w:bookmarkStart w:id="1" w:name="_GoBack"/>
      <w:r/>
      <w:bookmarkEnd w:id="1"/>
      <w:r/>
      <w:r/>
    </w:p>
    <w:sectPr>
      <w:foot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96303619"/>
      <w:docPartObj>
        <w:docPartGallery w:val="Page Numbers (Bottom of Page)"/>
        <w:docPartUnique w:val="true"/>
      </w:docPartObj>
      <w:rPr/>
    </w:sdtPr>
    <w:sdtContent>
      <w:p>
        <w:pPr>
          <w:pStyle w:val="68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68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decimal"/>
      <w:isLgl/>
      <w:suff w:val="tab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5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1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7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31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4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6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6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1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7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72"/>
    <w:next w:val="67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73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72"/>
    <w:next w:val="67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73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2"/>
    <w:next w:val="67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73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2"/>
    <w:next w:val="67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73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2"/>
    <w:next w:val="67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73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2"/>
    <w:next w:val="67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73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2"/>
    <w:next w:val="67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73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2"/>
    <w:next w:val="67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73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2"/>
    <w:next w:val="67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73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2"/>
    <w:next w:val="67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73"/>
    <w:link w:val="33"/>
    <w:uiPriority w:val="10"/>
    <w:rPr>
      <w:sz w:val="48"/>
      <w:szCs w:val="48"/>
    </w:rPr>
  </w:style>
  <w:style w:type="paragraph" w:styleId="35">
    <w:name w:val="Subtitle"/>
    <w:basedOn w:val="672"/>
    <w:next w:val="67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73"/>
    <w:link w:val="35"/>
    <w:uiPriority w:val="11"/>
    <w:rPr>
      <w:sz w:val="24"/>
      <w:szCs w:val="24"/>
    </w:rPr>
  </w:style>
  <w:style w:type="paragraph" w:styleId="37">
    <w:name w:val="Quote"/>
    <w:basedOn w:val="672"/>
    <w:next w:val="67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2"/>
    <w:next w:val="67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73"/>
    <w:link w:val="678"/>
    <w:uiPriority w:val="99"/>
  </w:style>
  <w:style w:type="character" w:styleId="44">
    <w:name w:val="Footer Char"/>
    <w:basedOn w:val="673"/>
    <w:link w:val="680"/>
    <w:uiPriority w:val="99"/>
  </w:style>
  <w:style w:type="paragraph" w:styleId="45">
    <w:name w:val="Caption"/>
    <w:basedOn w:val="672"/>
    <w:next w:val="67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80"/>
    <w:uiPriority w:val="99"/>
  </w:style>
  <w:style w:type="table" w:styleId="47">
    <w:name w:val="Table Grid"/>
    <w:basedOn w:val="67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7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7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7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7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73"/>
    <w:uiPriority w:val="99"/>
    <w:unhideWhenUsed/>
    <w:rPr>
      <w:vertAlign w:val="superscript"/>
    </w:rPr>
  </w:style>
  <w:style w:type="paragraph" w:styleId="177">
    <w:name w:val="endnote text"/>
    <w:basedOn w:val="67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73"/>
    <w:uiPriority w:val="99"/>
    <w:semiHidden/>
    <w:unhideWhenUsed/>
    <w:rPr>
      <w:vertAlign w:val="superscript"/>
    </w:rPr>
  </w:style>
  <w:style w:type="paragraph" w:styleId="180">
    <w:name w:val="toc 1"/>
    <w:basedOn w:val="672"/>
    <w:next w:val="67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2"/>
    <w:next w:val="67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2"/>
    <w:next w:val="67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2"/>
    <w:next w:val="67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2"/>
    <w:next w:val="67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2"/>
    <w:next w:val="67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2"/>
    <w:next w:val="67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2"/>
    <w:next w:val="67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2"/>
    <w:next w:val="67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2"/>
    <w:next w:val="672"/>
    <w:uiPriority w:val="99"/>
    <w:unhideWhenUsed/>
    <w:pPr>
      <w:spacing w:after="0" w:afterAutospacing="0"/>
    </w:pPr>
  </w:style>
  <w:style w:type="paragraph" w:styleId="672" w:default="1">
    <w:name w:val="Normal"/>
    <w:qFormat/>
  </w:style>
  <w:style w:type="character" w:styleId="673" w:default="1">
    <w:name w:val="Default Paragraph Font"/>
    <w:uiPriority w:val="1"/>
    <w:semiHidden/>
    <w:unhideWhenUsed/>
  </w:style>
  <w:style w:type="table" w:styleId="6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5" w:default="1">
    <w:name w:val="No List"/>
    <w:uiPriority w:val="99"/>
    <w:semiHidden/>
    <w:unhideWhenUsed/>
  </w:style>
  <w:style w:type="paragraph" w:styleId="676">
    <w:name w:val="List Paragraph"/>
    <w:basedOn w:val="672"/>
    <w:link w:val="677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 w:cs="Times New Roman"/>
    </w:rPr>
  </w:style>
  <w:style w:type="character" w:styleId="677" w:customStyle="1">
    <w:name w:val="Абзац списка Знак"/>
    <w:basedOn w:val="673"/>
    <w:link w:val="676"/>
    <w:uiPriority w:val="34"/>
    <w:rPr>
      <w:rFonts w:ascii="Calibri" w:hAnsi="Calibri" w:eastAsia="Calibri" w:cs="Times New Roman"/>
    </w:rPr>
  </w:style>
  <w:style w:type="paragraph" w:styleId="678">
    <w:name w:val="Header"/>
    <w:basedOn w:val="672"/>
    <w:link w:val="67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9" w:customStyle="1">
    <w:name w:val="Верхний колонтитул Знак"/>
    <w:basedOn w:val="673"/>
    <w:link w:val="678"/>
    <w:uiPriority w:val="99"/>
  </w:style>
  <w:style w:type="paragraph" w:styleId="680">
    <w:name w:val="Footer"/>
    <w:basedOn w:val="672"/>
    <w:link w:val="68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81" w:customStyle="1">
    <w:name w:val="Нижний колонтитул Знак"/>
    <w:basedOn w:val="673"/>
    <w:link w:val="680"/>
    <w:uiPriority w:val="99"/>
  </w:style>
  <w:style w:type="paragraph" w:styleId="682">
    <w:name w:val="Normal (Web)"/>
    <w:basedOn w:val="672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Михаил Гайдаев</cp:lastModifiedBy>
  <cp:revision>5</cp:revision>
  <dcterms:created xsi:type="dcterms:W3CDTF">2023-02-09T15:29:00Z</dcterms:created>
  <dcterms:modified xsi:type="dcterms:W3CDTF">2023-02-28T09:01:48Z</dcterms:modified>
</cp:coreProperties>
</file>