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  <w:u w:val="none"/>
        </w:rPr>
      </w:pPr>
      <w:r>
        <w:rPr>
          <w:rFonts w:ascii="Times New Roman" w:hAnsi="Times New Roman" w:cs="Times New Roman"/>
          <w:sz w:val="72"/>
          <w:szCs w:val="72"/>
          <w:u w:val="none"/>
        </w:rPr>
        <w:t xml:space="preserve">ОПИСАНИЕ КОМПЕТЕНЦИИ</w:t>
      </w:r>
      <w:r>
        <w:rPr>
          <w:sz w:val="72"/>
          <w:szCs w:val="72"/>
          <w:u w:val="none"/>
        </w:rPr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u w:val="none"/>
        </w:rPr>
        <w:t xml:space="preserve">«</w:t>
      </w:r>
      <w:r>
        <w:rPr>
          <w:rFonts w:ascii="Times New Roman" w:hAnsi="Times New Roman" w:cs="Times New Roman"/>
          <w:sz w:val="72"/>
          <w:szCs w:val="72"/>
          <w:u w:val="none"/>
        </w:rPr>
        <w:t xml:space="preserve">СЕТЕВОЕ И СИСТЕМНОЕ АДМИНИСТРИРОВАНИЕ</w:t>
      </w:r>
      <w:r>
        <w:rPr>
          <w:rFonts w:ascii="Times New Roman" w:hAnsi="Times New Roman" w:cs="Times New Roman"/>
          <w:sz w:val="72"/>
          <w:szCs w:val="72"/>
          <w:u w:val="none"/>
        </w:rPr>
        <w:t xml:space="preserve">»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Сетевое и системное администрирование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командный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Сетевой и системный администратор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создает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, эксплуатирует и обслуживает компьютерные сети и другие системы передачи данных. Эксплуатирует, технически обслуживает и устраняет неполадки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сетевых систем; эксплуатирует и технически обслуживает системы передачи данных; помогает пользователям сети и устраняет проблемы передачи данных; выявляет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зоны, нуждающиеся в обновлении оборудования и программного обеспечения; устанавливает компьютерную технику, сетевое программное обеспечение,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программное обеспечение операционной системы и приложения программного обеспечения; выполняет запуск и выключение, а также операции резервного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копирования и аварийного восстановления данных для компьютерных сетей.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В настоящее время компьютерные сети являются основным средством коммуникации и играют ключевую роль в управлении производственными и управленческими процессами. Они объединяют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в единую систему средства вычислительной техники, расположенные на многих удаленных рабочих местах, которые используют совместное оборудование, программные средства и информацию. Рабочие места сотрудников перестают быть изолированными и объединяются в един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ую систему, которая имеет особые преимущества, получаемые при сетевом объединении вычислительной техники в виде компьютерной вычислительной сети. Компьютерная сеть позволяет разделять аппаратные ресурсы между пользователями сети и экономно их использовать.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Сетевого и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системного администратора включает задачи разной степени сложности: от ремонта, подбора и закупки компьютерной техники и комплектующих до написания и технической поддержки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web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-сайтов, до обслуживания компаний с мощными серверами и многочисленными пользовательскими станциями.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Главные обязанности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сетевого и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системного администратора: обеспечить сетевую безопасность организации и поддерживать оптимальную работоспособность компьютеров, сети и компьютерных программ для пользователей.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Системный администратор создает и обслуживает вычислительные комплексы и сети, контролирует исправную работу операционных систем и программного обеспечения, занимается базами данных, устанавливает новое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программное обеспечение, координирует и администрирует системы, в том числе в режиме удаленного доступа и т.д.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Ни одно предприятие или организация в современном мире не может эффективно функционировать без компьютерной техники, а значит в любой организации востребованы специалисты по Сетевому и системному администрированию.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/>
      <w:bookmarkStart w:id="0" w:name="_Toc123113308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ФГОС СПО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:</w:t>
      </w:r>
      <w:r/>
    </w:p>
    <w:p>
      <w:pPr>
        <w:ind w:left="720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09.02.06 Сетевое и системное администрирование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Профессиональный стандарт</w:t>
      </w:r>
      <w:r>
        <w:rPr>
          <w:rFonts w:ascii="Times New Roman" w:hAnsi="Times New Roman" w:eastAsia="Calibri" w:cs="Times New Roman"/>
          <w:sz w:val="28"/>
          <w:szCs w:val="28"/>
        </w:rPr>
        <w:t xml:space="preserve">:</w:t>
      </w:r>
      <w:r/>
    </w:p>
    <w:p>
      <w:pPr>
        <w:ind w:left="720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Системный администратор информационно-коммуникационных систем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Утвержден </w:t>
      </w:r>
      <w:r>
        <w:rPr>
          <w:rFonts w:ascii="Times New Roman" w:hAnsi="Times New Roman" w:eastAsia="Calibri" w:cs="Times New Roman"/>
          <w:sz w:val="28"/>
          <w:szCs w:val="28"/>
        </w:rPr>
        <w:t xml:space="preserve">29.09.2020, №564 Министерство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м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труда и социальной зашиты Российской Федерации</w:t>
      </w:r>
      <w:r/>
    </w:p>
    <w:p>
      <w:pPr>
        <w:numPr>
          <w:ilvl w:val="0"/>
          <w:numId w:val="1"/>
        </w:num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ЕКС:</w:t>
      </w:r>
      <w:r/>
    </w:p>
    <w:p>
      <w:pPr>
        <w:numPr>
          <w:ilvl w:val="2"/>
          <w:numId w:val="2"/>
        </w:numPr>
        <w:ind w:left="1134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  <w:r/>
    </w:p>
    <w:p>
      <w:pPr>
        <w:numPr>
          <w:ilvl w:val="2"/>
          <w:numId w:val="2"/>
        </w:numPr>
        <w:ind w:left="1134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15.05.2013).</w:t>
      </w:r>
      <w:r/>
    </w:p>
    <w:p>
      <w:pPr>
        <w:pStyle w:val="694"/>
        <w:numPr>
          <w:ilvl w:val="0"/>
          <w:numId w:val="3"/>
        </w:numPr>
        <w:ind w:left="851"/>
        <w:jc w:val="both"/>
        <w:spacing w:after="0" w:line="240" w:lineRule="auto"/>
        <w:rPr>
          <w:rFonts w:ascii="Times New Roman" w:hAnsi="Times New Roman"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Квалификационные характеристики (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)</w:t>
      </w:r>
      <w:r/>
    </w:p>
    <w:tbl>
      <w:tblPr>
        <w:tblStyle w:val="700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 класс профессии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ind w:left="7"/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Тип профессии:</w:t>
            </w:r>
            <w:r/>
          </w:p>
          <w:p>
            <w:pPr>
              <w:pStyle w:val="694"/>
              <w:numPr>
                <w:ilvl w:val="0"/>
                <w:numId w:val="6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«Человек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  <w:p>
            <w:pPr>
              <w:pStyle w:val="694"/>
              <w:numPr>
                <w:ilvl w:val="0"/>
                <w:numId w:val="6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«Человек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Класс: эвристическая профессия, т.к. связана с разработкой и созданием новых объектов.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Содержание деятельности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9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системного администратора включает задачи разной степени сложности: от ремонта, подбора и закупки компьютерной техники и комплектующих до написания и технической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-сайтов, до обслуживания компаний с мощными серверами и многочисленными пользовательскими станциями.</w:t>
            </w:r>
            <w:r/>
          </w:p>
          <w:p>
            <w:pPr>
              <w:pStyle w:val="694"/>
              <w:numPr>
                <w:ilvl w:val="0"/>
                <w:numId w:val="9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обязанности системного администратора: обеспечить сетевую безопасность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оптимальную работоспособность компьютеров, сети и компьютерных программ для пользователей.</w:t>
            </w:r>
            <w:r/>
          </w:p>
          <w:p>
            <w:pPr>
              <w:pStyle w:val="694"/>
              <w:numPr>
                <w:ilvl w:val="0"/>
                <w:numId w:val="9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Системный администратор создает и обслуживает вычислительные комплексы и сети,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контролирует исправную работу операционных систем и программного обеспечения, занимается базами данных, устанавливает новое программное обеспечение (совершает «апгрейд»), координирует и администрирует системы, в том числе в режиме удаленного доступа и т.д.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Сетевой и системный администратор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должен знать: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7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виды операционных систем и основных офисных программ;</w:t>
            </w:r>
            <w:r/>
          </w:p>
          <w:p>
            <w:pPr>
              <w:pStyle w:val="694"/>
              <w:numPr>
                <w:ilvl w:val="0"/>
                <w:numId w:val="7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назначение сетевого и серверного оборудования;</w:t>
            </w:r>
            <w:r/>
          </w:p>
          <w:p>
            <w:pPr>
              <w:pStyle w:val="694"/>
              <w:numPr>
                <w:ilvl w:val="0"/>
                <w:numId w:val="7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совместимости оборудования различных типов и производителей между собой;</w:t>
            </w:r>
            <w:r/>
          </w:p>
          <w:p>
            <w:pPr>
              <w:pStyle w:val="694"/>
              <w:numPr>
                <w:ilvl w:val="0"/>
                <w:numId w:val="7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технические характеристики компьютерной и офисной техники;</w:t>
            </w:r>
            <w:r/>
          </w:p>
          <w:p>
            <w:pPr>
              <w:pStyle w:val="694"/>
              <w:numPr>
                <w:ilvl w:val="0"/>
                <w:numId w:val="7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базы данных и принципы управления ими;</w:t>
            </w:r>
            <w:r/>
          </w:p>
          <w:p>
            <w:pPr>
              <w:pStyle w:val="694"/>
              <w:numPr>
                <w:ilvl w:val="0"/>
                <w:numId w:val="7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цифровой электротехники;</w:t>
            </w:r>
            <w:r/>
          </w:p>
          <w:p>
            <w:pPr>
              <w:pStyle w:val="694"/>
              <w:numPr>
                <w:ilvl w:val="0"/>
                <w:numId w:val="7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научной организации труда, техники безопасности;</w:t>
            </w:r>
            <w:r/>
          </w:p>
          <w:p>
            <w:pPr>
              <w:pStyle w:val="694"/>
              <w:numPr>
                <w:ilvl w:val="0"/>
                <w:numId w:val="7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защиты информации.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Сетевой и системный администратор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должен уметь: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8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сборку и тестирование компьютерных систем;</w:t>
            </w:r>
            <w:r/>
          </w:p>
          <w:p>
            <w:pPr>
              <w:pStyle w:val="694"/>
              <w:numPr>
                <w:ilvl w:val="0"/>
                <w:numId w:val="8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быстро и качественно устранять неполадки в работе «железа» и компьютерных программ;</w:t>
            </w:r>
            <w:r/>
          </w:p>
          <w:p>
            <w:pPr>
              <w:pStyle w:val="694"/>
              <w:numPr>
                <w:ilvl w:val="0"/>
                <w:numId w:val="8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работоспособность сети или нескольких компьютеров, в том числе осуществлять администрирование по удаленной сети;</w:t>
            </w:r>
            <w:r/>
          </w:p>
          <w:p>
            <w:pPr>
              <w:pStyle w:val="694"/>
              <w:numPr>
                <w:ilvl w:val="0"/>
                <w:numId w:val="8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читать техническую литературу на английском языке;</w:t>
            </w:r>
            <w:r/>
          </w:p>
          <w:p>
            <w:pPr>
              <w:pStyle w:val="694"/>
              <w:numPr>
                <w:ilvl w:val="0"/>
                <w:numId w:val="8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электронные схемы;</w:t>
            </w:r>
            <w:r/>
          </w:p>
          <w:p>
            <w:pPr>
              <w:pStyle w:val="694"/>
              <w:numPr>
                <w:ilvl w:val="0"/>
                <w:numId w:val="8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обслуживать сеть;</w:t>
            </w:r>
            <w:r/>
          </w:p>
          <w:p>
            <w:pPr>
              <w:pStyle w:val="694"/>
              <w:numPr>
                <w:ilvl w:val="0"/>
                <w:numId w:val="8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оказывать помощь пользователям сети.</w:t>
            </w:r>
            <w:r/>
          </w:p>
          <w:p>
            <w:pPr>
              <w:pStyle w:val="694"/>
              <w:numPr>
                <w:ilvl w:val="0"/>
                <w:numId w:val="8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Требования к индивидуальным особенностям специалиста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ind w:left="30"/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Для успешной деятельности в качестве системного администратора необходимо наличие следующих профессионально-важных качеств: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абстрактно-логическое мышление;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склад ума;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доминирующая склонность к работе с техникой;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выраженная склонность к работе с информацией;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отлично развитая способность к концентрации внимания;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отлично развитые логические способности;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математические способности;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эмоциональная устойчивость;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организаторские способности;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ответственность;</w:t>
            </w:r>
            <w:r/>
          </w:p>
          <w:p>
            <w:pPr>
              <w:pStyle w:val="694"/>
              <w:numPr>
                <w:ilvl w:val="0"/>
                <w:numId w:val="12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объем кратковременной памяти.</w:t>
            </w:r>
            <w:r/>
          </w:p>
          <w:p>
            <w:pPr>
              <w:pStyle w:val="694"/>
              <w:numPr>
                <w:ilvl w:val="0"/>
                <w:numId w:val="4"/>
              </w:numPr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эмоциональная устойчивость.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Условия труда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ind w:left="30"/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Индивидуальная работа/работа в коллективе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Медицинские противопоказания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5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функций опорно-двигательного аппарата;</w:t>
            </w:r>
            <w:r/>
          </w:p>
          <w:p>
            <w:pPr>
              <w:pStyle w:val="694"/>
              <w:numPr>
                <w:ilvl w:val="0"/>
                <w:numId w:val="5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слабое зрение (некорректируемая близорукость);</w:t>
            </w:r>
            <w:r/>
          </w:p>
          <w:p>
            <w:pPr>
              <w:pStyle w:val="694"/>
              <w:numPr>
                <w:ilvl w:val="0"/>
                <w:numId w:val="5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хронические мигрени;</w:t>
            </w:r>
            <w:r/>
          </w:p>
          <w:p>
            <w:pPr>
              <w:pStyle w:val="694"/>
              <w:numPr>
                <w:ilvl w:val="0"/>
                <w:numId w:val="5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нервно-психические заболевания.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Базовое образование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ind w:left="30"/>
              <w:jc w:val="both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Профессия программиста требует наличия среднего профессионального либо высшего образования.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Пути получения профессии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ind w:left="30"/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Обучение в образовательных организациях среднего профессионального, высшего образования. </w:t>
            </w:r>
            <w:r/>
          </w:p>
          <w:p>
            <w:pPr>
              <w:ind w:left="30"/>
              <w:jc w:val="both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Обучение в образовательных организациях дополнительного профессионального образования.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Области применения профессии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ind w:left="3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Сетевые 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системные администраторы работают в сфере обслуживания компьютеров, электронных информационных сетей и офисной техники практически в любой организации:</w:t>
            </w:r>
            <w:r/>
          </w:p>
          <w:p>
            <w:pPr>
              <w:pStyle w:val="694"/>
              <w:numPr>
                <w:ilvl w:val="0"/>
                <w:numId w:val="13"/>
              </w:num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производственных, перерабатывающих и торговых предприятиях;</w:t>
            </w:r>
            <w:r/>
          </w:p>
          <w:p>
            <w:pPr>
              <w:pStyle w:val="694"/>
              <w:numPr>
                <w:ilvl w:val="0"/>
                <w:numId w:val="13"/>
              </w:num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государственных и коммерческих организациях;</w:t>
            </w:r>
            <w:r/>
          </w:p>
          <w:p>
            <w:pPr>
              <w:pStyle w:val="694"/>
              <w:numPr>
                <w:ilvl w:val="0"/>
                <w:numId w:val="13"/>
              </w:num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вычислительных центрах;</w:t>
            </w:r>
            <w:r/>
          </w:p>
          <w:p>
            <w:pPr>
              <w:pStyle w:val="694"/>
              <w:numPr>
                <w:ilvl w:val="0"/>
                <w:numId w:val="13"/>
              </w:num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военных организациях;</w:t>
            </w:r>
            <w:r/>
          </w:p>
          <w:p>
            <w:pPr>
              <w:pStyle w:val="694"/>
              <w:numPr>
                <w:ilvl w:val="0"/>
                <w:numId w:val="13"/>
              </w:num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образовательных учреждениях.</w:t>
            </w:r>
            <w:r/>
          </w:p>
        </w:tc>
      </w:tr>
      <w:tr>
        <w:trPr/>
        <w:tc>
          <w:tcPr>
            <w:tcW w:w="2122" w:type="dxa"/>
            <w:vAlign w:val="center"/>
            <w:textDirection w:val="lrTb"/>
            <w:noWrap w:val="false"/>
          </w:tcPr>
          <w:p>
            <w:pPr>
              <w:ind w:left="30"/>
              <w:jc w:val="center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Перспективы карьерного роста</w:t>
            </w:r>
            <w:r/>
          </w:p>
        </w:tc>
        <w:tc>
          <w:tcPr>
            <w:tcW w:w="7223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1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 и освоение смежных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694"/>
              <w:numPr>
                <w:ilvl w:val="0"/>
                <w:numId w:val="11"/>
              </w:num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управленческий путь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ind w:firstLine="709"/>
        <w:jc w:val="both"/>
        <w:keepNext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pStyle w:val="694"/>
        <w:numPr>
          <w:ilvl w:val="0"/>
          <w:numId w:val="11"/>
        </w:numPr>
        <w:jc w:val="both"/>
        <w:keepNext/>
        <w:spacing w:after="0"/>
        <w:rPr>
          <w:rFonts w:ascii="Times New Roman" w:hAnsi="Times New Roman" w:eastAsia="Times New Roman"/>
          <w:bCs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sz w:val="28"/>
          <w:szCs w:val="28"/>
        </w:rPr>
        <w:t xml:space="preserve">ГОСТы</w:t>
      </w:r>
      <w:r/>
    </w:p>
    <w:p>
      <w:pPr>
        <w:pStyle w:val="694"/>
        <w:numPr>
          <w:ilvl w:val="0"/>
          <w:numId w:val="16"/>
        </w:numPr>
        <w:jc w:val="both"/>
        <w:keepNext/>
        <w:spacing w:after="0"/>
        <w:rPr>
          <w:rFonts w:ascii="Times New Roman" w:hAnsi="Times New Roman" w:eastAsia="Times New Roman"/>
          <w:bCs/>
          <w:i/>
          <w:iCs/>
          <w:sz w:val="28"/>
          <w:szCs w:val="28"/>
        </w:rPr>
        <w:outlineLvl w:val="1"/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  <w:t xml:space="preserve">ГОСТ Р 58608-2019 Информационные технологии. Стратегическое управление ИТ. Структура и модель</w:t>
      </w:r>
      <w:r/>
    </w:p>
    <w:p>
      <w:pPr>
        <w:pStyle w:val="694"/>
        <w:numPr>
          <w:ilvl w:val="0"/>
          <w:numId w:val="16"/>
        </w:numPr>
        <w:jc w:val="both"/>
        <w:keepNext/>
        <w:spacing w:after="0"/>
        <w:rPr>
          <w:rFonts w:ascii="Times New Roman" w:hAnsi="Times New Roman" w:eastAsia="Times New Roman"/>
          <w:bCs/>
          <w:i/>
          <w:iCs/>
          <w:sz w:val="28"/>
          <w:szCs w:val="28"/>
        </w:rPr>
        <w:outlineLvl w:val="1"/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  <w:t xml:space="preserve">ГОСТ Р 55767-2013 Информационная технология. Европейская рамка ИКТ-компетенций 2.0. Часть 1. Общая европейская рамка компетенций ИКТ-специалистов для всех секторов индустрии</w:t>
      </w:r>
      <w:r/>
    </w:p>
    <w:p>
      <w:pPr>
        <w:pStyle w:val="694"/>
        <w:numPr>
          <w:ilvl w:val="0"/>
          <w:numId w:val="16"/>
        </w:numPr>
        <w:jc w:val="both"/>
        <w:keepNext/>
        <w:spacing w:after="0"/>
        <w:rPr>
          <w:rFonts w:ascii="Times New Roman" w:hAnsi="Times New Roman" w:eastAsia="Times New Roman"/>
          <w:bCs/>
          <w:i/>
          <w:iCs/>
          <w:sz w:val="28"/>
          <w:szCs w:val="28"/>
        </w:rPr>
        <w:outlineLvl w:val="1"/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  <w:t xml:space="preserve">ГОСТ Р 58608-2019 Информационные технологии. Стратегическое управление ИТ. Структура и модель</w:t>
      </w:r>
      <w:r/>
    </w:p>
    <w:p>
      <w:pPr>
        <w:pStyle w:val="694"/>
        <w:numPr>
          <w:ilvl w:val="0"/>
          <w:numId w:val="14"/>
        </w:numPr>
        <w:ind w:left="709"/>
        <w:jc w:val="both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СанПин </w:t>
      </w:r>
      <w:r/>
    </w:p>
    <w:p>
      <w:pPr>
        <w:numPr>
          <w:ilvl w:val="0"/>
          <w:numId w:val="15"/>
        </w:numPr>
        <w:ind w:left="1276"/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видеодисплейным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  <w:r/>
    </w:p>
    <w:p>
      <w:pPr>
        <w:numPr>
          <w:ilvl w:val="0"/>
          <w:numId w:val="15"/>
        </w:numPr>
        <w:ind w:left="1276"/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СанПиН 2.2.2/2.4.1340-03 Гигиенические требования к персональным электронно-вычислительным машинам и организации работ;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. (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ФГОС,ПС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)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i/>
          <w:sz w:val="28"/>
          <w:szCs w:val="28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>
        <w:trPr/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Выполнение работ по выявлению и устранению инцидентов в информационно-коммуникационных системах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Обеспечение работы технических и программных средств информационно-коммуникационных систем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Реализация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утвержденным планам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Внесение изменений в технические и программные средства информационно-коммуникационных систем по утвержденному плану работ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 w:val="false"/>
      <w:suff w:val="tab"/>
      <w:lvlText w:val="%3)"/>
      <w:lvlJc w:val="left"/>
      <w:pPr>
        <w:ind w:left="720" w:hanging="36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7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7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7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7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 w:val="false"/>
      <w:suff w:val="tab"/>
      <w:lvlText w:val="%3)"/>
      <w:lvlJc w:val="left"/>
      <w:pPr>
        <w:ind w:left="720" w:hanging="36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0"/>
    <w:next w:val="69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9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0"/>
    <w:next w:val="69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9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0"/>
    <w:next w:val="69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9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0"/>
    <w:next w:val="69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9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0"/>
    <w:next w:val="69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9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0"/>
    <w:next w:val="69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9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0"/>
    <w:next w:val="69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0"/>
    <w:next w:val="69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0"/>
    <w:next w:val="69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0"/>
    <w:next w:val="69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91"/>
    <w:link w:val="33"/>
    <w:uiPriority w:val="10"/>
    <w:rPr>
      <w:sz w:val="48"/>
      <w:szCs w:val="48"/>
    </w:rPr>
  </w:style>
  <w:style w:type="paragraph" w:styleId="35">
    <w:name w:val="Subtitle"/>
    <w:basedOn w:val="690"/>
    <w:next w:val="69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91"/>
    <w:link w:val="35"/>
    <w:uiPriority w:val="11"/>
    <w:rPr>
      <w:sz w:val="24"/>
      <w:szCs w:val="24"/>
    </w:rPr>
  </w:style>
  <w:style w:type="paragraph" w:styleId="37">
    <w:name w:val="Quote"/>
    <w:basedOn w:val="690"/>
    <w:next w:val="69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0"/>
    <w:next w:val="69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91"/>
    <w:link w:val="696"/>
    <w:uiPriority w:val="99"/>
  </w:style>
  <w:style w:type="character" w:styleId="44">
    <w:name w:val="Footer Char"/>
    <w:basedOn w:val="691"/>
    <w:link w:val="698"/>
    <w:uiPriority w:val="99"/>
  </w:style>
  <w:style w:type="paragraph" w:styleId="45">
    <w:name w:val="Caption"/>
    <w:basedOn w:val="690"/>
    <w:next w:val="6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8"/>
    <w:uiPriority w:val="99"/>
  </w:style>
  <w:style w:type="table" w:styleId="48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1"/>
    <w:uiPriority w:val="99"/>
    <w:unhideWhenUsed/>
    <w:rPr>
      <w:vertAlign w:val="superscript"/>
    </w:rPr>
  </w:style>
  <w:style w:type="paragraph" w:styleId="177">
    <w:name w:val="endnote text"/>
    <w:basedOn w:val="69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1"/>
    <w:uiPriority w:val="99"/>
    <w:semiHidden/>
    <w:unhideWhenUsed/>
    <w:rPr>
      <w:vertAlign w:val="superscript"/>
    </w:rPr>
  </w:style>
  <w:style w:type="paragraph" w:styleId="180">
    <w:name w:val="toc 1"/>
    <w:basedOn w:val="690"/>
    <w:next w:val="69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0"/>
    <w:next w:val="69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0"/>
    <w:next w:val="69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0"/>
    <w:next w:val="69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0"/>
    <w:next w:val="69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0"/>
    <w:next w:val="69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0"/>
    <w:next w:val="69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0"/>
    <w:next w:val="69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0"/>
    <w:next w:val="69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>
    <w:name w:val="List Paragraph"/>
    <w:basedOn w:val="690"/>
    <w:link w:val="69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95" w:customStyle="1">
    <w:name w:val="Абзац списка Знак"/>
    <w:basedOn w:val="691"/>
    <w:link w:val="694"/>
    <w:uiPriority w:val="34"/>
    <w:rPr>
      <w:rFonts w:ascii="Calibri" w:hAnsi="Calibri" w:eastAsia="Calibri" w:cs="Times New Roman"/>
    </w:rPr>
  </w:style>
  <w:style w:type="paragraph" w:styleId="696">
    <w:name w:val="Header"/>
    <w:basedOn w:val="690"/>
    <w:link w:val="69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7" w:customStyle="1">
    <w:name w:val="Верхний колонтитул Знак"/>
    <w:basedOn w:val="691"/>
    <w:link w:val="696"/>
    <w:uiPriority w:val="99"/>
  </w:style>
  <w:style w:type="paragraph" w:styleId="698">
    <w:name w:val="Footer"/>
    <w:basedOn w:val="690"/>
    <w:link w:val="69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9" w:customStyle="1">
    <w:name w:val="Нижний колонтитул Знак"/>
    <w:basedOn w:val="691"/>
    <w:link w:val="698"/>
    <w:uiPriority w:val="99"/>
  </w:style>
  <w:style w:type="table" w:styleId="700">
    <w:name w:val="Table Grid"/>
    <w:basedOn w:val="69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Михаил Гайдаев</cp:lastModifiedBy>
  <cp:revision>6</cp:revision>
  <dcterms:created xsi:type="dcterms:W3CDTF">2023-02-02T14:52:00Z</dcterms:created>
  <dcterms:modified xsi:type="dcterms:W3CDTF">2023-03-01T09:35:43Z</dcterms:modified>
</cp:coreProperties>
</file>