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B0D" w:rsidRDefault="003E4B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3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9"/>
        <w:gridCol w:w="4220"/>
      </w:tblGrid>
      <w:tr w:rsidR="003E4B0D">
        <w:tc>
          <w:tcPr>
            <w:tcW w:w="5419" w:type="dxa"/>
          </w:tcPr>
          <w:p w:rsidR="003E4B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441881" cy="1340044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3E4B0D" w:rsidRDefault="003E4B0D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:rsidR="003E4B0D" w:rsidRDefault="003E4B0D">
      <w:pPr>
        <w:rPr>
          <w:sz w:val="28"/>
          <w:szCs w:val="28"/>
        </w:rPr>
      </w:pPr>
    </w:p>
    <w:p w:rsidR="003E4B0D" w:rsidRDefault="003E4B0D">
      <w:pPr>
        <w:rPr>
          <w:sz w:val="28"/>
          <w:szCs w:val="28"/>
        </w:rPr>
      </w:pPr>
    </w:p>
    <w:p w:rsidR="003E4B0D" w:rsidRDefault="003E4B0D">
      <w:pPr>
        <w:rPr>
          <w:sz w:val="28"/>
          <w:szCs w:val="28"/>
        </w:rPr>
      </w:pPr>
    </w:p>
    <w:p w:rsidR="003E4B0D" w:rsidRDefault="003E4B0D">
      <w:pPr>
        <w:rPr>
          <w:sz w:val="28"/>
          <w:szCs w:val="28"/>
        </w:rPr>
      </w:pPr>
    </w:p>
    <w:p w:rsidR="003E4B0D" w:rsidRDefault="00000000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:rsidR="003E4B0D" w:rsidRDefault="00000000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72"/>
          <w:szCs w:val="72"/>
        </w:rPr>
        <w:t>«РАЗРАБОТКА ВИРТУАЛЬНЫХ МИРОВ»</w:t>
      </w: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B0D" w:rsidRDefault="003E4B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3E4B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3E4B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3E4B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00000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Москва –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3E4B0D" w:rsidRDefault="0000000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«Разработ</w:t>
      </w:r>
      <w:r>
        <w:rPr>
          <w:rFonts w:ascii="Times New Roman" w:eastAsia="Times New Roman" w:hAnsi="Times New Roman" w:cs="Times New Roman"/>
          <w:sz w:val="28"/>
          <w:szCs w:val="28"/>
        </w:rPr>
        <w:t>ка виртуальных 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E4B0D" w:rsidRDefault="0000000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>: индивидуальный</w:t>
      </w:r>
    </w:p>
    <w:p w:rsidR="003E4B0D" w:rsidRDefault="003E4B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B0D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B0D" w:rsidRDefault="000000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Виртуальная реальность – инновационная, динамично развивающаяся отрасль. Количество и качество продуктов, выпускающихся на платформе VR, растет в геометрической прогрессии. Виртуальные миры активно используются в бизнесе, развлекательной сфере, программах с инновационными формами обучения, при создании симуляторов и интерфейсов управления.</w:t>
      </w:r>
    </w:p>
    <w:p w:rsidR="003E4B0D" w:rsidRDefault="000000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Специалисты в области разработки виртуальных миров используют оборудование и инструменты разработки приложений, игр, сайтов и других продуктов виртуальной реальности, широко применяемых в образовании, медицине, промышленности, военной индустрии и бизнесе.</w:t>
      </w:r>
    </w:p>
    <w:p w:rsidR="003E4B0D" w:rsidRDefault="000000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специалист ответственен за адаптацию технологий виртуальной реальности к конкретным потребностям отрасли или проекта, а также за интеграцию существующих медицинских данных и приложений в виртуальное окружение. Кроме того, специалист по VR активно участвует в тестировании и оптимизации виртуальных приложений, обеспечивая их функциональность и соответствие стандартам безопасности и эффективности в медицинском контексте.</w:t>
      </w:r>
    </w:p>
    <w:p w:rsidR="003E4B0D" w:rsidRDefault="000000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деятельность специалиста по виртуальным мирам включает в себя разработку и создание визуальных и звуковых сред, обеспечивающих уникальный пользовательский опыт в виртуальном пространстве. </w:t>
      </w:r>
    </w:p>
    <w:p w:rsidR="003E4B0D" w:rsidRDefault="000000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Дизайнер виртуальных миров или VR-архитектор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специалист, который создает вымышленную реальность. Он создает искусственную 3D-среду, в которую пользователь погружается с помощью специальных устройств - иммерсионных наушников, очков виртуальной реальности или симуляторов.</w:t>
      </w:r>
    </w:p>
    <w:p w:rsidR="003E4B0D" w:rsidRDefault="003E4B0D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0j0zll" w:colFirst="0" w:colLast="0"/>
      <w:bookmarkEnd w:id="1"/>
    </w:p>
    <w:p w:rsidR="003E4B0D" w:rsidRDefault="00000000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3E4B0D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3E4B0D" w:rsidRDefault="000000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СПО.</w:t>
      </w:r>
    </w:p>
    <w:p w:rsidR="003E4B0D" w:rsidRDefault="0000000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09.02.07 Информационные системы и программирование, 2016, Министерство образования и науки РФ.</w:t>
      </w:r>
    </w:p>
    <w:p w:rsidR="003E4B0D" w:rsidRDefault="003E4B0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0000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стандарт;</w:t>
      </w:r>
    </w:p>
    <w:p w:rsidR="003E4B0D" w:rsidRDefault="0000000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06.001 – Программист, 2022, Министерство труда и социальной защиты Российской Федерации.</w:t>
      </w:r>
    </w:p>
    <w:p w:rsidR="003E4B0D" w:rsidRDefault="003E4B0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3E4B0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B0D" w:rsidRDefault="000000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ЕТКС</w:t>
      </w:r>
    </w:p>
    <w:p w:rsidR="003E4B0D" w:rsidRDefault="0000000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Техник-программист, 2013, Минтруд Российской Федерации.</w:t>
      </w:r>
    </w:p>
    <w:p w:rsidR="003E4B0D" w:rsidRDefault="000000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профессиограмма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E4B0D" w:rsidRDefault="00000000">
      <w:pPr>
        <w:spacing w:after="0" w:line="276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Дизайнер виртуальных миров — создаёт виртуальный мир во всех подробностях. Например, продумать, где и в какой период времени пролетит птица, откуда выедет машина, куда пойдет человек, когда и с какой силой подует ураган. В разработке архитектор должен соблюдать «экологию» VR-проектов: учитывать влияние виртуальной реальности на психику и физиологию человека.</w:t>
      </w:r>
    </w:p>
    <w:p w:rsidR="003E4B0D" w:rsidRDefault="00000000">
      <w:pPr>
        <w:spacing w:after="0" w:line="276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знаниям и умениям:</w:t>
      </w:r>
    </w:p>
    <w:p w:rsidR="003E4B0D" w:rsidRDefault="00000000">
      <w:pPr>
        <w:spacing w:after="0" w:line="276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проектирования и умение работать с программами по 3D-моделированию, чтобы конструировать качественные виртуальные миры; понимание основ дизайна и саунд-дизайна для создания атмосферы, отвечающей задачам виртуального мира; знание азов психологии, которые помогут разобраться, как разные действия и события в виртуальной реальности повлияют на пользователя; креативность, необходимая для разработки идей и решений; клиентоориентированность, без которой не получится в полной мере выполнять задания заказчиков; навыки кросс-отраслевого общения, чтобы понимать технических специалистов и их возможности.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3E4B0D" w:rsidRDefault="000000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ГОСТы </w:t>
      </w:r>
    </w:p>
    <w:p w:rsidR="003E4B0D" w:rsidRDefault="0000000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Р 51844-2009 «Техника пожарная. Шкафы пожарные. Общие</w:t>
      </w:r>
    </w:p>
    <w:p w:rsidR="003E4B0D" w:rsidRDefault="0000000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требования. Методы испытаний»</w:t>
      </w:r>
    </w:p>
    <w:p w:rsidR="003E4B0D" w:rsidRDefault="0000000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31937-2011 «Здания и сооружения. Правила обследования и</w:t>
      </w:r>
    </w:p>
    <w:p w:rsidR="003E4B0D" w:rsidRDefault="0000000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мониторинга технического состояния»</w:t>
      </w:r>
    </w:p>
    <w:p w:rsidR="003E4B0D" w:rsidRDefault="0000000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24940-2016 «Здания и сооружения. Методы измерения освещенности»</w:t>
      </w:r>
    </w:p>
    <w:p w:rsidR="003E4B0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</w:p>
    <w:p w:rsidR="003E4B0D" w:rsidRDefault="0000000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СанПиН 2.2.2/2.4.1340-03 «Гигиенические требования к персональным</w:t>
      </w:r>
    </w:p>
    <w:p w:rsidR="003E4B0D" w:rsidRDefault="0000000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электронно-вычислительным машинам и организации работы».</w:t>
      </w:r>
    </w:p>
    <w:p w:rsidR="003E4B0D" w:rsidRDefault="0000000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СанПиН 2.2.2/2.4.2198-07 «Гигиенические требования к персональным</w:t>
      </w:r>
    </w:p>
    <w:p w:rsidR="003E4B0D" w:rsidRDefault="0000000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электронно-вычислительным машинам и организации работы».</w:t>
      </w:r>
    </w:p>
    <w:p w:rsidR="003E4B0D" w:rsidRDefault="0000000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СанПиН 2.2.1/2.1.1.1278-03 естественному, искусственному и совмещенному освещению жилых и общественных зданий»</w:t>
      </w:r>
    </w:p>
    <w:p w:rsidR="003E4B0D" w:rsidRDefault="000000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 (СНИП)</w:t>
      </w:r>
    </w:p>
    <w:p w:rsidR="003E4B0D" w:rsidRDefault="0000000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 52.13330.2016 "СНиП 23-05-95” «Естественное и искусственное освещение»</w:t>
      </w:r>
    </w:p>
    <w:p w:rsidR="003E4B0D" w:rsidRDefault="0000000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 10.13130.2009 «Системы противопожарной защиты. Внутренний</w:t>
      </w:r>
    </w:p>
    <w:p w:rsidR="003E4B0D" w:rsidRDefault="0000000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противопожарный водопровод. Требования пожарной безопасности»</w:t>
      </w:r>
    </w:p>
    <w:p w:rsidR="003E4B0D" w:rsidRDefault="003E4B0D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4B0D" w:rsidRDefault="00000000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3E4B0D" w:rsidRDefault="003E4B0D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4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3E4B0D">
        <w:tc>
          <w:tcPr>
            <w:tcW w:w="989" w:type="dxa"/>
            <w:shd w:val="clear" w:color="auto" w:fill="92D050"/>
          </w:tcPr>
          <w:p w:rsidR="003E4B0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:rsidR="003E4B0D" w:rsidRDefault="00000000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E4B0D">
        <w:trPr>
          <w:trHeight w:val="690"/>
        </w:trPr>
        <w:tc>
          <w:tcPr>
            <w:tcW w:w="989" w:type="dxa"/>
            <w:shd w:val="clear" w:color="auto" w:fill="BFBFBF"/>
          </w:tcPr>
          <w:p w:rsidR="003E4B0D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E4B0D" w:rsidRDefault="0000000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Формализация и алгоритмизация поставленных задач для разработки программного кода</w:t>
            </w:r>
          </w:p>
        </w:tc>
      </w:tr>
      <w:tr w:rsidR="003E4B0D">
        <w:tc>
          <w:tcPr>
            <w:tcW w:w="989" w:type="dxa"/>
            <w:shd w:val="clear" w:color="auto" w:fill="BFBFBF"/>
          </w:tcPr>
          <w:p w:rsidR="003E4B0D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:rsidR="003E4B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</w:tr>
      <w:tr w:rsidR="003E4B0D">
        <w:tc>
          <w:tcPr>
            <w:tcW w:w="989" w:type="dxa"/>
            <w:shd w:val="clear" w:color="auto" w:fill="BFBFBF"/>
          </w:tcPr>
          <w:p w:rsidR="003E4B0D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:rsidR="003E4B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программного кода в соответствии с установленными требованиями</w:t>
            </w:r>
          </w:p>
        </w:tc>
      </w:tr>
      <w:tr w:rsidR="003E4B0D">
        <w:tc>
          <w:tcPr>
            <w:tcW w:w="989" w:type="dxa"/>
            <w:shd w:val="clear" w:color="auto" w:fill="BFBFBF"/>
          </w:tcPr>
          <w:p w:rsidR="003E4B0D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:rsidR="003E4B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системой управления версиями программного кода</w:t>
            </w:r>
          </w:p>
        </w:tc>
      </w:tr>
      <w:tr w:rsidR="003E4B0D">
        <w:tc>
          <w:tcPr>
            <w:tcW w:w="989" w:type="dxa"/>
            <w:shd w:val="clear" w:color="auto" w:fill="BFBFBF"/>
          </w:tcPr>
          <w:p w:rsidR="003E4B0D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:rsidR="003E4B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отладка программного кода</w:t>
            </w:r>
          </w:p>
        </w:tc>
      </w:tr>
      <w:tr w:rsidR="003E4B0D">
        <w:tc>
          <w:tcPr>
            <w:tcW w:w="989" w:type="dxa"/>
            <w:shd w:val="clear" w:color="auto" w:fill="BFBFBF"/>
          </w:tcPr>
          <w:p w:rsidR="003E4B0D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:rsidR="003E4B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работоспособности компьютерного программного обеспечения</w:t>
            </w:r>
          </w:p>
        </w:tc>
      </w:tr>
    </w:tbl>
    <w:p w:rsidR="003E4B0D" w:rsidRDefault="003E4B0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E4B0D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2E24" w:rsidRDefault="00282E24">
      <w:pPr>
        <w:spacing w:after="0" w:line="240" w:lineRule="auto"/>
      </w:pPr>
      <w:r>
        <w:separator/>
      </w:r>
    </w:p>
  </w:endnote>
  <w:endnote w:type="continuationSeparator" w:id="0">
    <w:p w:rsidR="00282E24" w:rsidRDefault="0028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B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581C">
      <w:rPr>
        <w:noProof/>
        <w:color w:val="000000"/>
      </w:rPr>
      <w:t>2</w:t>
    </w:r>
    <w:r>
      <w:rPr>
        <w:color w:val="000000"/>
      </w:rPr>
      <w:fldChar w:fldCharType="end"/>
    </w:r>
  </w:p>
  <w:p w:rsidR="003E4B0D" w:rsidRDefault="003E4B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2E24" w:rsidRDefault="00282E24">
      <w:pPr>
        <w:spacing w:after="0" w:line="240" w:lineRule="auto"/>
      </w:pPr>
      <w:r>
        <w:separator/>
      </w:r>
    </w:p>
  </w:footnote>
  <w:footnote w:type="continuationSeparator" w:id="0">
    <w:p w:rsidR="00282E24" w:rsidRDefault="00282E24">
      <w:pPr>
        <w:spacing w:after="0" w:line="240" w:lineRule="auto"/>
      </w:pPr>
      <w:r>
        <w:continuationSeparator/>
      </w:r>
    </w:p>
  </w:footnote>
  <w:footnote w:id="1">
    <w:p w:rsidR="003E4B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Профессиограмма</w:t>
      </w:r>
      <w:proofErr w:type="spellEnd"/>
      <w:r>
        <w:rPr>
          <w:color w:val="000000"/>
          <w:sz w:val="20"/>
          <w:szCs w:val="20"/>
        </w:rPr>
        <w:t xml:space="preserve"> Архитектор виртуальных миров: </w:t>
      </w:r>
      <w:hyperlink r:id="rId1">
        <w:r>
          <w:rPr>
            <w:color w:val="0563C1"/>
            <w:sz w:val="20"/>
            <w:szCs w:val="20"/>
            <w:u w:val="single"/>
          </w:rPr>
          <w:t>https://trends.rbc.ru/trends/education/619e2aab9a79471b6798f0e5</w:t>
        </w:r>
      </w:hyperlink>
      <w:r>
        <w:rPr>
          <w:color w:val="000000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36AED"/>
    <w:multiLevelType w:val="multilevel"/>
    <w:tmpl w:val="844A6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" w15:restartNumberingAfterBreak="0">
    <w:nsid w:val="2CAA27A9"/>
    <w:multiLevelType w:val="multilevel"/>
    <w:tmpl w:val="78946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56535500">
    <w:abstractNumId w:val="0"/>
  </w:num>
  <w:num w:numId="2" w16cid:durableId="168574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0D"/>
    <w:rsid w:val="000F581C"/>
    <w:rsid w:val="00282E24"/>
    <w:rsid w:val="003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1BE8F2B-ADD6-CB4B-B0F9-8BFD4DDB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footnote text"/>
    <w:basedOn w:val="a"/>
    <w:link w:val="ab"/>
    <w:uiPriority w:val="99"/>
    <w:semiHidden/>
    <w:unhideWhenUsed/>
    <w:rsid w:val="008C5F0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C5F0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C5F0B"/>
    <w:rPr>
      <w:vertAlign w:val="superscript"/>
    </w:rPr>
  </w:style>
  <w:style w:type="character" w:styleId="ad">
    <w:name w:val="Hyperlink"/>
    <w:basedOn w:val="a0"/>
    <w:uiPriority w:val="99"/>
    <w:unhideWhenUsed/>
    <w:rsid w:val="008C5F0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C5F0B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1"/>
    <w:qFormat/>
    <w:rsid w:val="00C05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C05D69"/>
    <w:rPr>
      <w:rFonts w:ascii="Times New Roman" w:eastAsia="Times New Roman" w:hAnsi="Times New Roman" w:cs="Times New Roman"/>
      <w:sz w:val="28"/>
      <w:szCs w:val="28"/>
    </w:rPr>
  </w:style>
  <w:style w:type="table" w:styleId="af1">
    <w:name w:val="Table Grid"/>
    <w:basedOn w:val="a1"/>
    <w:uiPriority w:val="39"/>
    <w:rsid w:val="00C05D6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ends.rbc.ru/trends/education/619e2aab9a79471b6798f0e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NIBvRtWNDf8zI4417r8QQEwNDQ==">CgMxLjAyCGguZ2pkZ3hzMgloLjMwajB6bGw4AHIhMWtSRjNDWmhjU25IRjdjSXM3U3d3OUlZNG01UU9Eb2NO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Microsoft Office User</cp:lastModifiedBy>
  <cp:revision>2</cp:revision>
  <dcterms:created xsi:type="dcterms:W3CDTF">2024-03-07T13:00:00Z</dcterms:created>
  <dcterms:modified xsi:type="dcterms:W3CDTF">2024-03-07T13:00:00Z</dcterms:modified>
</cp:coreProperties>
</file>