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556635" cy="1371600"/>
                <wp:effectExtent l="0" t="0" r="5715" b="0"/>
                <wp:docPr id="1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80.05pt;height:108.00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eastAsia="Times New Roman" w:cs="Times New Roman"/>
          <w:color w:val="000000"/>
          <w:sz w:val="52"/>
          <w:szCs w:val="52"/>
        </w:rPr>
      </w:r>
      <w:r>
        <w:rPr>
          <w:rFonts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ascii="Times New Roman" w:hAnsi="Times New Roman"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ascii="Times New Roman" w:hAnsi="Times New Roman"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ascii="Times New Roman" w:hAnsi="Times New Roman"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ascii="Times New Roman" w:hAnsi="Times New Roman"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ascii="Times New Roman" w:hAnsi="Times New Roman"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48"/>
          <w:szCs w:val="48"/>
        </w:rPr>
        <w:t xml:space="preserve">Инструкция по охране труда</w:t>
      </w:r>
      <w:r>
        <w:rPr>
          <w:rFonts w:ascii="Times New Roman" w:hAnsi="Times New Roman" w:eastAsia="Times New Roman" w:cs="Times New Roman"/>
          <w:color w:val="000000"/>
          <w:sz w:val="48"/>
          <w:szCs w:val="48"/>
        </w:rPr>
      </w:r>
      <w:r>
        <w:rPr>
          <w:rFonts w:ascii="Times New Roman" w:hAnsi="Times New Roman" w:eastAsia="Times New Roman" w:cs="Times New Roman"/>
          <w:color w:val="000000"/>
          <w:sz w:val="48"/>
          <w:szCs w:val="48"/>
        </w:rPr>
      </w:r>
    </w:p>
    <w:p>
      <w:pPr>
        <w:jc w:val="center"/>
        <w:spacing w:line="240" w:lineRule="auto"/>
        <w:rPr>
          <w:rFonts w:ascii="Times New Roman" w:hAnsi="Times New Roman"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  <w:r>
        <w:rPr>
          <w:rFonts w:ascii="Times New Roman" w:hAnsi="Times New Roman" w:eastAsia="Times New Roman" w:cs="Times New Roman"/>
          <w:color w:val="000000"/>
          <w:sz w:val="52"/>
          <w:szCs w:val="52"/>
        </w:rPr>
      </w:r>
    </w:p>
    <w:p>
      <w:pPr>
        <w:jc w:val="center"/>
        <w:spacing w:line="240" w:lineRule="auto"/>
        <w:rPr>
          <w:rFonts w:ascii="Times New Roman" w:hAnsi="Times New Roman"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color w:val="000000"/>
          <w:sz w:val="40"/>
          <w:szCs w:val="40"/>
        </w:rPr>
        <w:t xml:space="preserve">компетенция «Вожатская деятельность»</w:t>
      </w:r>
      <w:r>
        <w:rPr>
          <w:rFonts w:ascii="Times New Roman" w:hAnsi="Times New Roman" w:eastAsia="Times New Roman" w:cs="Times New Roman"/>
          <w:color w:val="000000"/>
          <w:sz w:val="40"/>
          <w:szCs w:val="40"/>
        </w:rPr>
      </w:r>
      <w:r>
        <w:rPr>
          <w:rFonts w:ascii="Times New Roman" w:hAnsi="Times New Roman" w:eastAsia="Times New Roman" w:cs="Times New Roman"/>
          <w:color w:val="000000"/>
          <w:sz w:val="40"/>
          <w:szCs w:val="40"/>
        </w:rPr>
      </w:r>
    </w:p>
    <w:p>
      <w:pPr>
        <w:ind w:left="0" w:right="0" w:firstLine="0"/>
        <w:jc w:val="center"/>
        <w:spacing w:after="0" w:line="8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36"/>
        </w:rPr>
        <w:t xml:space="preserve">Итоговый (межрегиональный) этап Чемпионата по профессиональному мастерству «Профессионалы» </w:t>
      </w:r>
      <w:r/>
    </w:p>
    <w:p>
      <w:pPr>
        <w:ind w:left="0" w:right="0" w:firstLine="0"/>
        <w:jc w:val="center"/>
        <w:spacing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36"/>
        </w:rPr>
        <w:t xml:space="preserve">Оренбургская область</w:t>
      </w:r>
      <w:r/>
    </w:p>
    <w:p>
      <w:pPr>
        <w:jc w:val="center"/>
        <w:spacing w:line="240" w:lineRule="auto"/>
        <w:rPr>
          <w:rFonts w:ascii="Times New Roman" w:hAnsi="Times New Roman"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sz w:val="36"/>
          <w:szCs w:val="36"/>
        </w:rPr>
      </w:r>
      <w:r>
        <w:rPr>
          <w:rFonts w:ascii="Times New Roman" w:hAnsi="Times New Roman" w:eastAsia="Times New Roman" w:cs="Times New Roman"/>
          <w:color w:val="000000"/>
          <w:sz w:val="40"/>
          <w:szCs w:val="40"/>
        </w:rPr>
      </w:r>
      <w:r>
        <w:rPr>
          <w:rFonts w:ascii="Times New Roman" w:hAnsi="Times New Roman" w:eastAsia="Times New Roman" w:cs="Times New Roman"/>
          <w:color w:val="000000"/>
          <w:sz w:val="40"/>
          <w:szCs w:val="4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left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jc w:val="center"/>
        <w:spacing w:line="240" w:lineRule="auto"/>
        <w:rPr>
          <w:rFonts w:eastAsia="Times New Roman" w:cs="Times New Roman"/>
          <w:color w:val="00000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</w:rPr>
        <w:t xml:space="preserve">2024</w:t>
      </w:r>
      <w:r>
        <w:rPr>
          <w:rFonts w:eastAsia="Times New Roman" w:cs="Times New Roman"/>
          <w:color w:val="000000"/>
        </w:rPr>
        <w:t xml:space="preserve"> г.</w:t>
      </w:r>
      <w:r>
        <w:br w:type="page" w:clear="all"/>
      </w:r>
      <w:r>
        <w:rPr>
          <w:rFonts w:eastAsia="Times New Roman" w:cs="Times New Roman"/>
          <w:color w:val="000000"/>
        </w:rPr>
      </w:r>
      <w:r>
        <w:rPr>
          <w:rFonts w:eastAsia="Times New Roman" w:cs="Times New Roman"/>
          <w:color w:val="000000"/>
        </w:rPr>
      </w:r>
    </w:p>
    <w:p>
      <w:pPr>
        <w:ind w:left="360" w:hanging="36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ind w:left="360" w:hanging="36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ind w:left="360" w:hanging="36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sdt>
      <w:sdtPr>
        <w15:appearance w15:val="boundingBox"/>
        <w:id w:val="-512452543"/>
        <w:docPartObj>
          <w:docPartGallery w:val="Table of Contents"/>
          <w:docPartUnique w:val="true"/>
        </w:docPartObj>
        <w:rPr>
          <w:rFonts w:ascii="Calibri" w:hAnsi="Calibri" w:eastAsia="Calibri" w:cs="Calibri"/>
          <w:color w:val="auto"/>
          <w:sz w:val="22"/>
          <w:szCs w:val="22"/>
        </w:rPr>
      </w:sdtPr>
      <w:sdtContent>
        <w:p>
          <w:pPr>
            <w:pStyle w:val="996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olor w:val="auto"/>
              <w:sz w:val="28"/>
              <w:szCs w:val="28"/>
            </w:rPr>
            <w:t xml:space="preserve">Оглавление</w:t>
          </w:r>
          <w:r>
            <w:rPr>
              <w:rFonts w:ascii="Times New Roman" w:hAnsi="Times New Roman" w:cs="Times New Roman"/>
              <w:color w:val="auto"/>
              <w:sz w:val="28"/>
              <w:szCs w:val="28"/>
            </w:rPr>
          </w:r>
          <w:r>
            <w:rPr>
              <w:rFonts w:ascii="Times New Roman" w:hAnsi="Times New Roman" w:cs="Times New Roman"/>
              <w:color w:val="auto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tooltip="#_Toc150706484" w:anchor="_Toc150706484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1. Область применения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85" w:anchor="_Toc150706485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 Нормативные ссылки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86" w:anchor="_Toc150706486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3. Общие требования охраны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87" w:anchor="_Toc150706487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4. Требования охраны труда перед началом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88" w:anchor="_Toc150706488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5.Требования охраны труда во время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89" w:anchor="_Toc150706489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6. Требования охраны труда в аварийных ситуациях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_Toc150706489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90" w:anchor="_Toc150706490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7. Требование охраны труда по окончании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91" w:anchor="_Toc150706491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Инструкция по охране труда для экспертов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92" w:anchor="_Toc150706492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1.Общие требования охраны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93" w:anchor="_Toc150706493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2.Требования охраны труда перед началом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94" w:anchor="_Toc150706494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3.Требования охраны труда во время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95" w:anchor="_Toc150706495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4. Требования охраны труда в аварийных ситуациях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pPr>
            <w:pStyle w:val="969"/>
            <w:tabs>
              <w:tab w:val="right" w:pos="10196" w:leader="dot"/>
            </w:tabs>
            <w:rPr>
              <w:rFonts w:ascii="Times New Roman" w:hAnsi="Times New Roman" w:cs="Times New Roman" w:eastAsiaTheme="minorEastAsia"/>
              <w:sz w:val="28"/>
              <w:szCs w:val="28"/>
            </w:rPr>
          </w:pPr>
          <w:r/>
          <w:hyperlink w:tooltip="#_Toc150706496" w:anchor="_Toc150706496" w:history="1">
            <w:r>
              <w:rPr>
                <w:rStyle w:val="97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5.Требование охраны труда по окончании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_Toc150706496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  <w:r>
            <w:rPr>
              <w:rFonts w:ascii="Times New Roman" w:hAnsi="Times New Roman" w:cs="Times New Roman" w:eastAsiaTheme="minorEastAsia"/>
              <w:sz w:val="28"/>
              <w:szCs w:val="28"/>
            </w:rPr>
          </w:r>
        </w:p>
        <w:p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  <w:r/>
        </w:p>
      </w:sdtContent>
    </w:sdt>
    <w:p>
      <w:pPr>
        <w:rPr>
          <w:rFonts w:ascii="Times New Roman" w:hAnsi="Times New Roman" w:eastAsia="Times New Roman" w:cs="Times New Roman"/>
          <w:color w:val="000000"/>
        </w:rPr>
      </w:pPr>
      <w:r>
        <w:br w:type="page" w:clear="all"/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Style w:val="978"/>
        <w:jc w:val="center"/>
      </w:pPr>
      <w:r/>
      <w:bookmarkStart w:id="0" w:name="_Toc150706484"/>
      <w:r>
        <w:t xml:space="preserve">1. Область применения</w:t>
      </w:r>
      <w:bookmarkEnd w:id="0"/>
      <w:r/>
      <w:r/>
    </w:p>
    <w:p>
      <w:pPr>
        <w:ind w:firstLine="72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Итогового (межрегионального) этапа </w:t>
      </w:r>
      <w:r>
        <w:rPr>
          <w:rFonts w:ascii="Times New Roman" w:hAnsi="Times New Roman" w:cs="Times New Roman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>
        <w:rPr>
          <w:rFonts w:ascii="Times New Roman" w:hAnsi="Times New Roman" w:cs="Times New Roman"/>
          <w:sz w:val="28"/>
          <w:szCs w:val="28"/>
        </w:rPr>
        <w:t xml:space="preserve">г. (далее Чемпионата).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Итогового (межрегионального) этапа</w:t>
      </w:r>
      <w:r>
        <w:rPr>
          <w:rFonts w:ascii="Times New Roman" w:hAnsi="Times New Roman" w:cs="Times New Roman"/>
          <w:sz w:val="28"/>
          <w:szCs w:val="28"/>
        </w:rPr>
        <w:t xml:space="preserve"> Чемпионата по профессиональному мастерству «Профессионалы» в 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 компетенции «Вожатская деятельность».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8"/>
        <w:jc w:val="center"/>
      </w:pPr>
      <w:r/>
      <w:bookmarkStart w:id="1" w:name="_Toc150706485"/>
      <w:r>
        <w:t xml:space="preserve">2. Нормативные ссылки</w:t>
      </w:r>
      <w:bookmarkEnd w:id="1"/>
      <w:r/>
      <w:r/>
    </w:p>
    <w:p>
      <w:pPr>
        <w:ind w:firstLine="72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Правила разработаны на основании следующих документов и источников: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 Трудовой кодекс Российской Федерации от 30.12.2001 № 197-ФЗ.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Постановление главн</w:t>
      </w:r>
      <w:r>
        <w:rPr>
          <w:rFonts w:ascii="Times New Roman" w:hAnsi="Times New Roman" w:cs="Times New Roman"/>
          <w:sz w:val="28"/>
          <w:szCs w:val="28"/>
        </w:rPr>
        <w:t xml:space="preserve">ого государственный санитарного врача Российской Федерации ОТ 28 сентября 2020 года № 28 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60" w:hanging="360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Style w:val="978"/>
        <w:jc w:val="center"/>
      </w:pPr>
      <w:r/>
      <w:bookmarkStart w:id="2" w:name="_Toc150706486"/>
      <w:r>
        <w:t xml:space="preserve">3. Общие требования охраны труда</w:t>
      </w:r>
      <w:bookmarkEnd w:id="2"/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 К самостоятельному выполнению конкурсных заданий в компетенции «Вожатская деятельность» допускаются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студенты колледжей.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4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прошедшие инструктаж по охране труда по «Программе инструктажа по охране труда и технике безопасности»;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4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ознакомленные с инструкцией по охране труда;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4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имеющие необходимые навыки по эксплуатации инструмента, приспособлений совместной работы на оборудовании;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4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имеющие противопоказаний к выполнению конкурсных заданий по состоянию здоровья.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rPr>
          <w:rFonts w:ascii="Times New Roman" w:hAnsi="Times New Roman" w:eastAsia="Times New Roman" w:cs="Times New Roman"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br w:type="page" w:clear="all"/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5"/>
        </w:numPr>
        <w:ind w:left="0" w:firstLine="709"/>
        <w:jc w:val="both"/>
        <w:spacing w:after="0" w:line="360" w:lineRule="auto"/>
        <w:tabs>
          <w:tab w:val="left" w:pos="426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инструкции по охране труда и технике безопасности;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5"/>
        </w:numPr>
        <w:ind w:left="0" w:firstLine="709"/>
        <w:jc w:val="both"/>
        <w:spacing w:after="0" w:line="360" w:lineRule="auto"/>
        <w:tabs>
          <w:tab w:val="left" w:pos="426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заходить за ограждения и в технические помещения;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5"/>
        </w:numPr>
        <w:ind w:left="0" w:firstLine="709"/>
        <w:jc w:val="both"/>
        <w:spacing w:after="0" w:line="360" w:lineRule="auto"/>
        <w:tabs>
          <w:tab w:val="left" w:pos="426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соблюдать личную гигиену;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5"/>
        </w:numPr>
        <w:ind w:left="0" w:firstLine="709"/>
        <w:jc w:val="both"/>
        <w:spacing w:after="0" w:line="360" w:lineRule="auto"/>
        <w:tabs>
          <w:tab w:val="left" w:pos="426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принимать пищу в строго отведенных местах;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5"/>
        </w:numPr>
        <w:ind w:left="0" w:firstLine="709"/>
        <w:jc w:val="both"/>
        <w:spacing w:after="0" w:line="360" w:lineRule="auto"/>
        <w:tabs>
          <w:tab w:val="left" w:pos="426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самостоятельно использовать инструмент и оборудование, разрешенное к выполнению конкурсного задания.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3.3. Участник для выполнения конкурсного задания использует инструмент: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1004"/>
        <w:tblW w:w="102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3969"/>
      </w:tblGrid>
      <w:tr>
        <w:trPr/>
        <w:tc>
          <w:tcPr>
            <w:gridSpan w:val="2"/>
            <w:shd w:val="clear" w:color="auto" w:fill="auto"/>
            <w:tcW w:w="102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Наименование инструмента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использует самостоятельно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использует под наблюдением 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эксперта или назначенного 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ответственного лица старше 18 лет: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Ножницы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Линейка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Клеенка для труда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Степлер, скобы для степлера, антистеплер, дырокол, скрепки канцелярские кнопки для пробковой доски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Клей ПВА, клей – карандаш, емкость для клея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Нож канцелярский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highlight w:val="white"/>
              </w:rPr>
              <w:t xml:space="preserve">Папка-планшет с зажимом, папка – конверт на кнопке, папка – на кольцах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Краски акварель, гуашь, кисти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Скотч узкий, широкий двусторонний, двусторонний скотч на вспененной основе, скотч малярный, скотч цветной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Бумага тишью, бумага для флипчарта, ватман, бумага А4, бумага гофрированная цветная, бумага для акварели А3, бумага цветная, картон цветной, картон белый, блокнот, бумажные салфетки, стикеры, файлы А4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Стакан для рисования непроливайка, палитра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Набор фломастеров, карандаш простой, карандаши цветные, ручка шариковая синяя, маркер черный, маркеры цветные, текстовыделители, стакан для канцелярских товаров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Ластик, губка магнитная для маркерных досок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Точилка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Пластилин, стеки, дощечка для пластилина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Джутовый шпагат, проволока синельная, шнур декоративный, лента репсовая, лента атласная фетр, фатин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Магниты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Фонарь светодиодный, светодиодные свечи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gridSpan w:val="2"/>
            <w:shd w:val="clear" w:color="auto" w:fill="auto"/>
            <w:tcW w:w="102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Наименование спортивного инвентаря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использует самостоятельно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использует под наблюдением 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эксперта или назначенного 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ответственного лица старше 18 лет: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Мячи: волейбольный, баскетбольный, малые, теннисные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Обруч пластмассовый, фишки усеченные, флажки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Скакалка, канат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Гимнастический коврик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Гимнастическая палка, пипидастры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Эстафетная палочка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Спортивный секундомер, табло перекидное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Пуфы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jc w:val="both"/>
        <w:spacing w:before="120" w:after="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firstLine="709"/>
        <w:jc w:val="both"/>
        <w:spacing w:before="12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3.4. Участник для выполнения конкурсного задания использует оборудование: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1005"/>
        <w:tblW w:w="1020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3969"/>
      </w:tblGrid>
      <w:tr>
        <w:trPr/>
        <w:tc>
          <w:tcPr>
            <w:gridSpan w:val="2"/>
            <w:shd w:val="clear" w:color="auto" w:fill="auto"/>
            <w:tcW w:w="102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Наименование оборудования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использует самостоятельно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выполняет конкурсное задание 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совместно с экспертом или 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назначенным лицом старше 18 лет: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Интерактивная панель, стилус для интерактивной панели, презентер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Ноутбук (компьютер), планшет, компьютерная мышь, наушники с микрофоном, пилот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Микрофонная радиосистема, активная акустическая система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Флипчарт магнитно-маркерный, доска пробковая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Видеокамера, зеркальный фотоаппарат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UCB флешка, карта памяти SDHC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МФУ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>
          <w:trHeight w:val="112"/>
        </w:trPr>
        <w:tc>
          <w:tcPr>
            <w:shd w:val="clear" w:color="auto" w:fill="auto"/>
            <w:tcW w:w="623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Веб – камера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ind w:firstLine="72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3.5. При выполнении конкурсного задания на участника могут воздействовать следующие вредные и (или) опасные факторы: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Физические: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6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режущие и колющие предметы;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6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повышенный шум;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6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ультрафиолетовое излучение.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Химические: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7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несоблюдении техники безопасности возможность попадания клея на слизистые оболочки.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Психологические: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8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чрезмерное напряжение внимания;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8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усиленная нагрузка на зрение и слух;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8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повышенная ответственность.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3.6. Применяемые во время выполнения конкурсного задания средства индивидуальной защиты: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9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наушники;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9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удобная обувь на низком каблуке с нескользящей подошвой.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3.7. Знаки безопасности, используемые на рабочем месте, для обозначения присутствующих опасностей: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F 04 Огнетушитель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29565" cy="31877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29565" cy="318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5.95pt;height:25.10pt;mso-wrap-distance-left:0.00pt;mso-wrap-distance-top:0.00pt;mso-wrap-distance-right:0.00pt;mso-wrap-distance-bottom:0.00pt;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E22 Указатель выхода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16585" cy="329565"/>
                <wp:effectExtent l="0" t="0" r="0" b="0"/>
                <wp:docPr id="3" name="image9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png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616585" cy="3295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8.55pt;height:25.95pt;mso-wrap-distance-left:0.00pt;mso-wrap-distance-top:0.00pt;mso-wrap-distance-right:0.00pt;mso-wrap-distance-bottom:0.00pt;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E23 Указатель запасного выхода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701675" cy="382905"/>
                <wp:effectExtent l="0" t="0" r="0" b="0"/>
                <wp:docPr id="4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/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701675" cy="3829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55.25pt;height:30.15pt;mso-wrap-distance-left:0.00pt;mso-wrap-distance-top:0.00pt;mso-wrap-distance-right:0.00pt;mso-wrap-distance-bottom:0.00pt;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EC01 Аптечка первой медицинской помощи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82905" cy="361315"/>
                <wp:effectExtent l="0" t="0" r="0" b="0"/>
                <wp:docPr id="5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382905" cy="3613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30.15pt;height:28.45pt;mso-wrap-distance-left:0.00pt;mso-wrap-distance-top:0.00pt;mso-wrap-distance-right:0.00pt;mso-wrap-distance-bottom:0.00pt;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P01. Запрещается курить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separate"/>
      </w:r>
      <w:r>
        <w:fldChar w:fldCharType="begin"/>
      </w:r>
      <w:r>
        <w:instrText xml:space="preserve"> INCLUDEPICTURE  "https://studfiles.net/html/2706/32/html_qBHtLJCsya.KhkT/img-9S7d9T.jpg" \* MERGEFORMATINET </w:instrText>
      </w:r>
      <w:r>
        <w:fldChar w:fldCharType="separate"/>
      </w:r>
      <w:r>
        <w:fldChar w:fldCharType="begin"/>
      </w:r>
      <w:r>
        <w:instrText xml:space="preserve"> INCLUDEPICTURE  "https://studfiles.net/html/2706/32/html_qBHtLJCsya.KhkT/img-9S7d9T.jpg" \* MERGEFORMATINET </w:instrText>
      </w:r>
      <w:r>
        <w:fldChar w:fldCharType="separate"/>
      </w:r>
      <w:r>
        <w:fldChar w:fldCharType="begin"/>
      </w:r>
      <w:r>
        <w:instrText xml:space="preserve"> INCLUDEPICTURE  "https://studfiles.net/html/2706/32/html_qBHtLJCsya.KhkT/img-9S7d9T.jpg" \* MERGEFORMATINET </w:instrText>
      </w:r>
      <w:r>
        <w:fldChar w:fldCharType="separate"/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00050" cy="409575"/>
                <wp:effectExtent l="0" t="0" r="0" b="0"/>
                <wp:docPr id="6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1.50pt;height:32.25pt;mso-wrap-distance-left:0.00pt;mso-wrap-distance-top:0.00pt;mso-wrap-distance-right:0.00pt;mso-wrap-distance-bottom:0.00pt;" stroked="f">
                <v:path textboxrect="0,0,0,0"/>
                <v:imagedata r:id="rId19" o:title=""/>
              </v:shape>
            </w:pict>
          </mc:Fallback>
        </mc:AlternateContent>
      </w:r>
      <w:r>
        <w:fldChar w:fldCharType="end"/>
      </w:r>
      <w:r>
        <w:fldChar w:fldCharType="end"/>
      </w:r>
      <w: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3.8. При несчастном случае пострадавший или очевидец несчастного случая обязан немедленно сообщить о случившемся Экспертам.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3.9. Участники, допустившие невыполнение или нарушение инструкции по охране труда, привлекаются к ответственности в соответствии с Положением о всероссийском Чемпионатном Движении.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rPr>
          <w:rFonts w:ascii="Times New Roman" w:hAnsi="Times New Roman" w:eastAsia="Times New Roman" w:cs="Times New Roman"/>
        </w:rPr>
      </w:pPr>
      <w:r>
        <w:br w:type="page" w:clear="all"/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78"/>
        <w:jc w:val="center"/>
      </w:pPr>
      <w:r/>
      <w:bookmarkStart w:id="3" w:name="_Toc150706487"/>
      <w:r>
        <w:t xml:space="preserve">4. Требования охраны труда перед началом работы</w:t>
      </w:r>
      <w:bookmarkEnd w:id="3"/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Перед началом работы участники должны выполнить следующее: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4.1. В день 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-1 все участники должны ознакомит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4.2. Подготовить рабочее место: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проверить наличие инструмента и расходных материалов;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проверить готовность оборудования;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отсутствие посторонних предметов на рабочем месте и вокруг него;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проверить состояние полов (отсутствие выбоин, неровностей, скользкости).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4.3. Подготовить инструмент и оборудование, разрешенное к самостоятельной работе: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1006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352"/>
        <w:gridCol w:w="6679"/>
      </w:tblGrid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Наименование инструмента или оборудования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Правила подготовки к выполнению конкурсного задания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</w:tr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Ноутбук (компьютер), МФУ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Проверить исправность оборудования и приспособлений: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наличие защитных кожухов (в системном блоке);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исправность работы мыши и клавиатуры;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исправность цветопередачи монитора;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отсутствие розеток и/или иных проводов в зоне досягаемости;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скорость работы при полной загруженности ПК;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следить за тем, чтобы вентиляционные отверстия устройств ничем не были закрыты;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синхронность работы ПК и МФУ;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совершить пробный запуск тестовой печати;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наличие тонера и бумаги.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Интерактивная панель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Убедиться, что кабели, идущие по полу к изделию, надлежащим образом помечены и связаны так, чтобы за них нельзя было зацепиться.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Убедиться, что оборудование находится далеко от нагревательных приборов и источников влаги, что предотвращает возгорание и поражение электрическим током.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Проверить, правильно ли оснащено рабочее место и надежно ли подключено и закреплено оборудование;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Убедиться в отсутствии электронных помех и статического электричества. Наличие этих явлений негативно сказывается на работе оборудования, вызывая шумовые или визуальные искажения в работе.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Аккуратно использовать внешние носители информации, стараясь не повредить USB-порт при подключении к аппаратуре.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Микрофонная радиосистема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Убедиться в отсутствии видимых повреждений.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Убедиться в технической исправности оборудования.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Зеркальный фотоаппарат, веб – камера, видеокамера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-Проверить целостность корпуса, надежность установки для съемки.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Мячи: волейбольный, баскетбольный, малые, теннисные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наличие и исправность.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отскок мяча; разместить на площадке с учетом специфики спортивного инвентаря и безопасной организации подвижной игры в ходе демонстрации конкурсного задания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Обруч пластмассовый, фишки усеченные, флажки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наличие и исправность.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поверхность пола на отсутствие неровностей, выступов.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Следить за безопасным расстоянием между статистами с учетом специфики спортивного инвентаря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Скакалки, канат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наличие и исправность, отсутствие спутанности, узлов.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поверхность пола на отсутствие неровностей, выступов.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Следить за безопасным расстоянием между статистами с учетом специфики спортивного инвентаря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Гимнастические коврики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чистоту и отсутствие неровностей; разместить на площадке с учетом специфики спортивного инвентаря и безопасной организации подвижной игры в ходе демонстрации конкурсного задания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3352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Эстафетные палочки гимнастическая палка, пипидастры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shd w:val="clear" w:color="auto" w:fill="auto"/>
            <w:tcW w:w="667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наличие и исправность.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Следить за безопасным расстоянием между статистами с учетом специфики спортивного инвентаря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Инструм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4.5. Ежедневно, перед началом выполнения конкурсного задания, в процессе подготовки рабочего места: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7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осмотреть и привести в порядок рабочее место, средства индивидуальной защиты;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7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убедиться в достаточности освещенности;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7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проверить (визуально) правильность подключения инструмента и оборудования в электросеть;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7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4.6. Подготовить необходимые для работы материалы, приспособления, и разложить их на свои места, убрать с рабочего стола все лишнее.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4.7. Уча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78"/>
        <w:jc w:val="center"/>
      </w:pPr>
      <w:r/>
      <w:bookmarkStart w:id="4" w:name="_Toc150706488"/>
      <w:r>
        <w:t xml:space="preserve">5.Требования охраны труда во время работы</w:t>
      </w:r>
      <w:bookmarkEnd w:id="4"/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1007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509"/>
        <w:gridCol w:w="7522"/>
      </w:tblGrid>
      <w:tr>
        <w:trPr/>
        <w:tc>
          <w:tcPr>
            <w:shd w:val="clear" w:color="auto" w:fill="auto"/>
            <w:tcW w:w="250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Наименование инструмента/ оборудования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  <w:tc>
          <w:tcPr>
            <w:shd w:val="clear" w:color="auto" w:fill="auto"/>
            <w:tcW w:w="7522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Требования безопасности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Ноутбук (компьютер), интерактивная панель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Избегать частого включения и выключения без необходимости.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 прикасаться к экрану и тыльной стороне блоков компьютера.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 трогать разъемы соединительных кабелей.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 приступать к работе с влажными руками.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Избегать попадания брызг воды на монитор; исключить попадания жидкости на чувствительные электронные компоненты во избежание их повреждения.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 класть предметы на оборудование и дисплей.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Во время работы: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необходимо аккуратно обращаться с проводами;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запрещается работать с неисправным компьютером/ноутбуком;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нельзя заниматься очисткой компьютера/ноутбука, когда он находится под напряжением;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недопустимо самостоятельно проводить ремонт ПК и оргтехники при отсутствии специальных навыков;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нельзя располагать рядом с компьютером/ноутбуком жидкости, а также работать с мокрыми руками;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запрещается прикасаться к задней панели персонального компьютера и другой оргтехники, монитора при включенном питании;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нельзя производить самостоятельно вскрытие и ремонт оборудования;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запрещается переключать разъемы интерфейсных кабелей периферийных устройств;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запрещается загромождение верхних панелей устройств бумагами и посторонними предметами.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Микрофонная радиосистема, веб- камера, видеокамера, фотоаппарат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-В случае обнаружения неисправности отключить питание устройства от сети 220 В. Для полной уверенности в этом случае лучше вытащить сетевую вилку из розетки. Сообщить Главному эксперту.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-При первоначальном включении устройства следует соблюдать осторожность.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-Не рекомендуется оставлять без присмотра включенные и еще не настроенные устройства - это может вызвать пожар.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-Все переключения режимов следует проводить до его подключения.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-Все подключения прибора к проверяемой схеме проводить при полностью отключенной радиоаппаратуре.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-При проведении работ не спешить, иначе это приводит (в лучшем случае) только к повреждениям прибора.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МФУ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-Во избежание поражения электротоком при устранении блокировки бумаги и мелком ремонте отключить аппарат от сети.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-Не допускать воздействия огня на тонер-картридж.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Ножницы, канцелярский нож, клей.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 оставлять лезвия ножниц, ножа открытыми.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 держать ножницы, нож острыми частями вверх, и не использовать их при ослабленном центральном креплении.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При работе ножницами, ножом внимательно следить за направлением резки.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 резать на ходу.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Во время работы удерживать материал рукой так, чтобы пальцы другой руки были в стороне от лезвия.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Наносить клей на поверхность изделия только кистью.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 допускать, чтобы клей попадал на пальцы рук, лицо, особенно глаза.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При попадании клея в глаза надо немедленно промыть их в большом количестве воды.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При работе с клеем пользоваться салфеткой.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По окончании работы обязательно вымыть руки и кисть.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Мячи: волейбольный, баскетбольный, малые, теннисные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- Проверить наличие недостаточного отскока мяча и наличие порывов. - </w:t>
            </w:r>
            <w:r>
              <w:rPr>
                <w:rFonts w:ascii="Times New Roman" w:hAnsi="Times New Roman" w:eastAsia="Times New Roman" w:cs="Times New Roman"/>
              </w:rPr>
              <w:t xml:space="preserve">При наличии недостаточного отскока и порывов прекратить выполнение конкурсного задания, пока технический эксперт не обеспечит замену инвентаря, имеющего дефекты.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-Учитывать специфику спортивного инвентаря в ходе демонстрации конкурсного задания; контролировать безопасность проведения подвижных игр в ходе демонстрации конкурсного задания.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Обруч пластмассовый, фишки усеченные, флажки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-При наличии неровностей и выступов не приступать или прекратить выполнение конкурсного задания, пока технический эксперт не обеспечит замену инвентаря, имеющего дефекты.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Скакалки, канат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Проверить поверхность на наличие узлов.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При наличии узлов не приступать или прекратить выполнение конкурсного задания, пока технический эксперт не обеспечит замену инвентаря, имеющего дефекты.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Гимнастические коврики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Следить за чистотой и отсутствием неровностей и порывов.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При наличии неровностей и порывов прекратить выполнение конкурсного задания, пока технический эксперт не обеспечит замену инвентаря, имеющего дефекты.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-Учитывать специфику спортивного инвентаря в ходе демонстрации конкурсного задания; контролировать безопасность организации подвижных игр в ходе демонстрации конкурсного задания.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Эстафетные палочки Гимнастическая палка, пипидастры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-При наличии неровностей и выступов, дефектов, влияющих на использование, не приступать или прекратить выполнение конкурсного задания, пока технический эксперт не обеспечит замену инвентаря, имеющего дефекты.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-Учитывать целесообразность размещения на площадке; учитывать специфику спортивного инвентаря в ходе демонстрации конкурсного задания; контролировать безопасность проведения подвижных игр.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Кнопки для пробковой доски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- Хранить кнопки в специально отведенном месте.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- Использовать кнопки только по их назначению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- До и после работы проверить количество кнопок.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Ножницы, степлер, антистеплер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Хранить ножницы, степлер и антистеплер в специально отведенном месте, класть на стол во время работы сомкнутыми острыми концами от себя.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Передавать ножницы кольцами вперед с сомкнутыми лезвиями.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Нельзя резать, скреплять и раскреплять на ходу.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rPr/>
        <w:tc>
          <w:tcPr>
            <w:shd w:val="clear" w:color="auto" w:fill="auto"/>
            <w:tcW w:w="2509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Пластилин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75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Использовать пластилин только по назначению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Работать с пластилином на дощечке, засучивать рукава перед работой.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После работы с пластилином привести в порядок рабочее место; очистить от пластилина доски, протереть стол мокрой тряпочкой.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По окончании работы необходимо сначала тщательно вытереть руки бумажной салфеткой, а затем влажной салфеткой.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- Хранить пластилин в специальных коробках, в строго отведенном месте.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</w:tbl>
    <w:p>
      <w:pPr>
        <w:jc w:val="both"/>
        <w:spacing w:before="120" w:after="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firstLine="709"/>
        <w:jc w:val="both"/>
        <w:spacing w:before="80"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5.2. При выполнении конкурсных заданий и уборке рабочих мест: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8"/>
        </w:numPr>
        <w:ind w:left="0" w:firstLine="709"/>
        <w:jc w:val="both"/>
        <w:spacing w:before="80"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участников;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8"/>
        </w:numPr>
        <w:ind w:left="0" w:firstLine="709"/>
        <w:jc w:val="both"/>
        <w:spacing w:before="80"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соблюдать настоящую инструкцию;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8"/>
        </w:numPr>
        <w:ind w:left="0" w:firstLine="709"/>
        <w:jc w:val="both"/>
        <w:spacing w:before="80"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8"/>
        </w:numPr>
        <w:ind w:left="0" w:firstLine="709"/>
        <w:jc w:val="both"/>
        <w:spacing w:before="80"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поддерживать порядок и чистоту на рабочем месте;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8"/>
        </w:numPr>
        <w:ind w:left="0" w:firstLine="709"/>
        <w:jc w:val="both"/>
        <w:spacing w:before="80"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8"/>
        </w:numPr>
        <w:ind w:left="0" w:firstLine="709"/>
        <w:jc w:val="both"/>
        <w:spacing w:before="80"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выполнять конкурсные задания только исправным инструментом.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before="80"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78"/>
        <w:jc w:val="center"/>
      </w:pPr>
      <w:r/>
      <w:bookmarkStart w:id="5" w:name="_Toc150706489"/>
      <w:r>
        <w:t xml:space="preserve">6. Требования охраны труда в аварийных ситуациях</w:t>
      </w:r>
      <w:bookmarkEnd w:id="5"/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6.1. При обнаружении неисправности в работе электрических устройств,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6.2. В случае возникновения у участника плохого самочувствия или получения травмы сообщить об этом эксперту.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6.4. При несчастном случае или внезапном заболевании необходимо в первую очередь 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6.5. При возник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78"/>
        <w:jc w:val="center"/>
      </w:pPr>
      <w:r/>
      <w:bookmarkStart w:id="6" w:name="_Toc150706490"/>
      <w:r>
        <w:t xml:space="preserve">7. Требование охраны труда по окончании работ</w:t>
      </w:r>
      <w:bookmarkEnd w:id="6"/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После окончания работ каждый участник обязан: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5"/>
        </w:numPr>
        <w:ind w:left="0" w:firstLine="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Привести в порядок рабочее место.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5"/>
        </w:numPr>
        <w:ind w:left="0" w:firstLine="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Убрать средства индивидуальной защиты в отведенное для хранений место.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5"/>
        </w:numPr>
        <w:ind w:left="0" w:firstLine="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Отключить инструмент и оборудование от сети.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5"/>
        </w:numPr>
        <w:ind w:left="0" w:firstLine="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Инструмент убрать в специально предназначенное для хранений место.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5"/>
        </w:numPr>
        <w:ind w:left="0" w:firstLine="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78"/>
        <w:jc w:val="center"/>
      </w:pPr>
      <w:r>
        <w:br w:type="page" w:clear="all"/>
      </w:r>
      <w:bookmarkStart w:id="7" w:name="_Toc150706491"/>
      <w:r>
        <w:t xml:space="preserve">Инструкция по охране труда для экспертов</w:t>
      </w:r>
      <w:bookmarkEnd w:id="7"/>
      <w:r/>
      <w:r/>
    </w:p>
    <w:p>
      <w:pPr>
        <w:pStyle w:val="978"/>
        <w:jc w:val="center"/>
      </w:pPr>
      <w:r/>
      <w:bookmarkStart w:id="8" w:name="_Toc150706492"/>
      <w:r>
        <w:t xml:space="preserve">1.Общие требования охраны труда</w:t>
      </w:r>
      <w:bookmarkEnd w:id="8"/>
      <w:r/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1.1. К работе в качестве эксперта Компетенции «Вожатская деятельность» допускаются Эксперты, прошедшие специальное обучение и не имеющие противопоказаний по состоянию здоровья.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конкурсной площадки Эксперт обязан четко соблюдать: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инструкции по охране труда и технике безопасности;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правила пожарной безопасности, знать места расположения первичных средств пожаротушения и планов эвакуации.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расписание и график проведения конкурсного задания, установленные режимы труда и отдыха.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3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электрический ток;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3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3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шум, обусловленный конструкцией оргтехники;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3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химические вещества, выделяющиеся при работе оргтехники;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3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зрительное перенапряжение при работе с ПК.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Физические: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4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режущие и колющие предметы;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4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повышенный шум;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4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ультрафиолетовое излучение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Химические: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5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несоблюдении техники безопасности возможность попадания клея на слизистые оболочки.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Психологические: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6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чрезмерное напряжение внимания;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6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усиленная нагрузка на зрение и слух;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6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повышенная ответственность при выполнении своих функций.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1.5. Применяемые во время выполнения конкурсного задания средства индивидуальной защиты отсутствуют.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1.6. Знаки безопасности, используемые на рабочих местах участников, для обозначения присутствующих опасностей: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F 04 Огнетушитель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29565" cy="318770"/>
                <wp:effectExtent l="0" t="0" r="0" b="0"/>
                <wp:docPr id="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29565" cy="318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25.95pt;height:25.10pt;mso-wrap-distance-left:0.00pt;mso-wrap-distance-top:0.00pt;mso-wrap-distance-right:0.00pt;mso-wrap-distance-bottom:0.00pt;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E22 Указатель выхода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16585" cy="329565"/>
                <wp:effectExtent l="0" t="0" r="0" b="0"/>
                <wp:docPr id="8" name="image9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png"/>
                        <pic:cNvPicPr/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616585" cy="32956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48.55pt;height:25.95pt;mso-wrap-distance-left:0.00pt;mso-wrap-distance-top:0.00pt;mso-wrap-distance-right:0.00pt;mso-wrap-distance-bottom:0.00pt;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E23 Указатель запасного выхода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701675" cy="382905"/>
                <wp:effectExtent l="0" t="0" r="0" b="0"/>
                <wp:docPr id="9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/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701675" cy="38290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55.25pt;height:30.15pt;mso-wrap-distance-left:0.00pt;mso-wrap-distance-top:0.00pt;mso-wrap-distance-right:0.00pt;mso-wrap-distance-bottom:0.00pt;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EC01 Аптечка первой медицинской помощи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82905" cy="361315"/>
                <wp:effectExtent l="0" t="0" r="0" b="0"/>
                <wp:docPr id="10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382905" cy="361315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30.15pt;height:28.45pt;mso-wrap-distance-left:0.00pt;mso-wrap-distance-top:0.00pt;mso-wrap-distance-right:0.00pt;mso-wrap-distance-bottom:0.00pt;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10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P01. Запрещается курить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separate"/>
      </w:r>
      <w:r>
        <w:fldChar w:fldCharType="begin"/>
      </w:r>
      <w:r>
        <w:instrText xml:space="preserve"> INCLUDEPICTURE  "https://studfiles.net/html/2706/32/html_qBHtLJCsya.KhkT/img-9S7d9T.jpg" \* MERGEFORMATINET </w:instrText>
      </w:r>
      <w:r>
        <w:fldChar w:fldCharType="separate"/>
      </w:r>
      <w:r>
        <w:fldChar w:fldCharType="begin"/>
      </w:r>
      <w:r>
        <w:instrText xml:space="preserve"> INCLUDEPICTURE  "https://studfiles.net/html/2706/32/html_qBHtLJCsya.KhkT/img-9S7d9T.jpg" \* MERGEFORMATINET </w:instrText>
      </w:r>
      <w:r>
        <w:fldChar w:fldCharType="separate"/>
      </w:r>
      <w:r>
        <w:fldChar w:fldCharType="begin"/>
      </w:r>
      <w:r>
        <w:instrText xml:space="preserve"> INCLUDEPICTURE  "https://studfiles.net/html/2706/32/html_qBHtLJCsya.KhkT/img-9S7d9T.jpg" \* MERGEFORMATINET </w:instrText>
      </w:r>
      <w:r>
        <w:fldChar w:fldCharType="separate"/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00050" cy="409575"/>
                <wp:effectExtent l="0" t="0" r="0" b="0"/>
                <wp:docPr id="1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4000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31.50pt;height:32.25pt;mso-wrap-distance-left:0.00pt;mso-wrap-distance-top:0.00pt;mso-wrap-distance-right:0.00pt;mso-wrap-distance-bottom:0.00pt;" stroked="f">
                <v:path textboxrect="0,0,0,0"/>
                <v:imagedata r:id="rId19" o:title=""/>
              </v:shape>
            </w:pict>
          </mc:Fallback>
        </mc:AlternateContent>
      </w:r>
      <w:r>
        <w:fldChar w:fldCharType="end"/>
      </w:r>
      <w:r>
        <w:fldChar w:fldCharType="end"/>
      </w:r>
      <w: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помещении Экспертов Компетенции «Вожатская деятельность»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В случае несчастного случая, болезни Главного эксперта воспользоваться телефонами экстренных служб: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Чтобы вызвать пожарных, позвонить: с городского телефона по номерам 101, 112; с мобильного телефона (для всех операторов) по номерам 101 и 112.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Чтобы вызвать полицию, позвонить: с городского телефона по номерам 02 и 102; с мобильного телефона (для всех операторов) по номерам 102 и 112.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Чтобы вызвать спасателей, позвонить: с городского телефона по номерам 101, 112; с мобильного телефона (для всех операторов) по номерам 101 и 112.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20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Чтобы вызвать скорую медицинскую помощь, позвонить: с городского телефона по номерам 03 или 103; с мобильного телефона (для всех операторов) по номерам 103 и 112.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20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Чтобы вызвать аварийную газовую службу ОАО «Мосгаз», позвонить: с городского телефона по номерам 04 или 104; с мобильного телефона (для всех операторов) по номерам 104 и 112.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Положением о Всероссийском Чемпионатном Движении, а при необходимости согласно действующему законодательству.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78"/>
        <w:jc w:val="center"/>
      </w:pPr>
      <w:r/>
      <w:bookmarkStart w:id="9" w:name="_Toc150706493"/>
      <w:r>
        <w:t xml:space="preserve">2.Требования охраны труда перед началом работы</w:t>
      </w:r>
      <w:bookmarkEnd w:id="9"/>
      <w:r/>
      <w:r/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Перед началом работы Эксперты должны выполнить следующее: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2.1. В день Д</w:t>
      </w:r>
      <w:bookmarkStart w:id="10" w:name="_GoBack"/>
      <w:r/>
      <w:bookmarkEnd w:id="10"/>
      <w:r>
        <w:rPr>
          <w:rFonts w:ascii="Times New Roman" w:hAnsi="Times New Roman" w:eastAsia="Times New Roman" w:cs="Times New Roman"/>
          <w:sz w:val="28"/>
          <w:szCs w:val="28"/>
        </w:rPr>
        <w:t xml:space="preserve">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2.2. Ежедневно, перед началом выполнения конку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2.3. Ежедневно, перед началом работ на конкурсной площадке и в помещении экспертов необходимо: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0"/>
        </w:numPr>
        <w:ind w:left="0" w:firstLine="709"/>
        <w:jc w:val="both"/>
        <w:spacing w:after="0" w:line="360" w:lineRule="auto"/>
        <w:tabs>
          <w:tab w:val="left" w:pos="709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осмотреть рабочие места экспертов и участников;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0"/>
        </w:numPr>
        <w:ind w:left="0" w:firstLine="709"/>
        <w:jc w:val="both"/>
        <w:spacing w:after="0" w:line="360" w:lineRule="auto"/>
        <w:tabs>
          <w:tab w:val="left" w:pos="709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привести в порядок рабочее место эксперта;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0"/>
        </w:numPr>
        <w:ind w:left="0" w:firstLine="709"/>
        <w:jc w:val="both"/>
        <w:spacing w:after="0" w:line="360" w:lineRule="auto"/>
        <w:tabs>
          <w:tab w:val="left" w:pos="709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проверить правильность подключения оборудования в электросеть;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0"/>
        </w:numPr>
        <w:ind w:left="0" w:firstLine="709"/>
        <w:jc w:val="both"/>
        <w:spacing w:after="0" w:line="360" w:lineRule="auto"/>
        <w:tabs>
          <w:tab w:val="left" w:pos="709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надеть необходимые средства индивидуальной защиты;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0"/>
        </w:numPr>
        <w:ind w:left="0" w:firstLine="709"/>
        <w:jc w:val="both"/>
        <w:spacing w:after="0" w:line="360" w:lineRule="auto"/>
        <w:tabs>
          <w:tab w:val="left" w:pos="709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78"/>
        <w:jc w:val="center"/>
      </w:pPr>
      <w:r/>
      <w:bookmarkStart w:id="11" w:name="_Toc150706494"/>
      <w:r>
        <w:t xml:space="preserve">3.Требования охраны труда во время работы</w:t>
      </w:r>
      <w:bookmarkEnd w:id="11"/>
      <w:r/>
      <w:r/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часов. Через каждый час работы следует делать регламентированный перерыв продолжительностью 15 мин.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3.4. Во избежание поражения током запрещается: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прикасаться к задней панели персонального компьютера и другой оргтехники, монитора при включенном питании;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производить самостоятельно вскрытие и ремонт оборудования;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переключать разъемы интерфейсных кабелей периферийных устройств при включенном питании;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загромождать верхние панели устройств бумагами и посторонними предметами;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1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3.6. Эксперту во время работы с оргтехникой: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обращать внимание на символы, высвечивающиеся на панели оборудования, не игнорировать их;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производить включение/выключение аппаратов мокрыми руками;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ставить на устройство емкости с водой, не класть металлические предметы;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эксплуатировать аппарат, если он перегрелся, стал дымиться, появился посторонний запах или звук;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 эксплуатировать аппарат, если его уронили или корпус был поврежден;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вынимать застрявшие листы можно только после отключения устройства из сети;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запрещается перемещать аппараты включенными в сеть;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все работы по замене картриджей, бумаги можно производить только после отключения аппарата от сети;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запрещается опираться на стекло оригиналодержателя, класть на него какие-либо вещи помимо оригинала;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запрещается работать на аппарате с треснувшим стеклом;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обязательно мыть руки теплой водой с мылом после каждой чистки картриджей, узлов и т.д.;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2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просыпанный тонер, носитель немедленно собрать пылесосом или влажной ветошью.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3.8. Запрещается: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3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устанавливать неизвестные системы паролирования и самостоятельно проводить переформатирование диска;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3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иметь при себе любые средства связи;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3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пользоваться любой документацией кроме предусмотренной конкурсным заданием.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3.10. При наблюдении за выполнением конкурсного задания участниками Эксперту: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67"/>
        <w:numPr>
          <w:ilvl w:val="0"/>
          <w:numId w:val="24"/>
        </w:numPr>
        <w:ind w:left="0" w:firstLine="709"/>
        <w:jc w:val="both"/>
        <w:spacing w:after="0" w:line="36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передвигаться по конкурсной площадке не спеша, не делая резких движений, смотря под ноги.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78"/>
        <w:jc w:val="center"/>
      </w:pPr>
      <w:r/>
      <w:bookmarkStart w:id="12" w:name="_Toc150706495"/>
      <w:r>
        <w:t xml:space="preserve">4. Требования охраны труда в аварийных ситуациях</w:t>
      </w:r>
      <w:bookmarkEnd w:id="12"/>
      <w:r/>
      <w:r/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4.2. В случае возникновения зрительного дискомфорта и других неблагоприятных субъективных ощуще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4.5. При возникн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78"/>
        <w:jc w:val="center"/>
      </w:pPr>
      <w:r/>
      <w:bookmarkStart w:id="13" w:name="_Toc150706496"/>
      <w:r>
        <w:t xml:space="preserve">5.</w:t>
      </w:r>
      <w:r>
        <w:t xml:space="preserve"> </w:t>
      </w:r>
      <w:r>
        <w:t xml:space="preserve">Требование охраны труда по окончании работ</w:t>
      </w:r>
      <w:bookmarkEnd w:id="13"/>
      <w:r/>
      <w:r/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После окончания конкурсного дня Эксперт обязан: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5.1. Отключить электрические приборы, оборудование, инструмент и устройства от источника питания.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20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7" w:h="16839" w:orient="portrait"/>
      <w:pgMar w:top="1134" w:right="567" w:bottom="1134" w:left="1134" w:header="567" w:footer="567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yak Light">
    <w:panose1 w:val="05040102010807070707"/>
  </w:font>
  <w:font w:name="Noto Sans Symbols">
    <w:panose1 w:val="05040102010807070707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  <w:fldChar w:fldCharType="begin"/>
    </w:r>
    <w:r>
      <w:rPr>
        <w:color w:val="000000"/>
      </w:rPr>
      <w:instrText xml:space="preserve">PAGE</w:instrText>
    </w:r>
    <w:r>
      <w:rPr>
        <w:color w:val="000000"/>
      </w:rPr>
      <w:fldChar w:fldCharType="separate"/>
    </w:r>
    <w:r>
      <w:rPr>
        <w:color w:val="000000"/>
      </w:rPr>
      <w:t xml:space="preserve">19</w:t>
    </w:r>
    <w:r>
      <w:rPr>
        <w:color w:val="000000"/>
      </w:rPr>
      <w:fldChar w:fldCharType="end"/>
    </w:r>
    <w:r>
      <w:rPr>
        <w:color w:val="000000"/>
      </w:rPr>
    </w:r>
    <w:r>
      <w:rPr>
        <w:color w:val="000000"/>
      </w:rPr>
    </w:r>
  </w:p>
  <w:p>
    <w:pPr>
      <w:spacing w:after="0" w:line="240" w:lineRule="auto"/>
      <w:tabs>
        <w:tab w:val="left" w:pos="8040" w:leader="none"/>
      </w:tabs>
      <w:rPr>
        <w:rFonts w:ascii="Mayak Light" w:hAnsi="Mayak Light" w:eastAsia="Mayak Light" w:cs="Mayak Light"/>
        <w:b/>
        <w:sz w:val="20"/>
        <w:szCs w:val="2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Mayak Light" w:hAnsi="Mayak Light" w:eastAsia="Mayak Light" w:cs="Mayak Light"/>
        <w:b/>
        <w:sz w:val="20"/>
        <w:szCs w:val="20"/>
      </w:rPr>
    </w:r>
    <w:r>
      <w:rPr>
        <w:rFonts w:ascii="Mayak Light" w:hAnsi="Mayak Light" w:eastAsia="Mayak Light" w:cs="Mayak Light"/>
        <w:b/>
        <w:sz w:val="20"/>
        <w:szCs w:val="20"/>
      </w:rPr>
    </w:r>
    <w:r>
      <w:rPr>
        <w:rFonts w:ascii="Mayak Light" w:hAnsi="Mayak Light" w:eastAsia="Mayak Light" w:cs="Mayak Light"/>
        <w:b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  <w:tab w:val="right" w:pos="10631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>
      <w:rPr>
        <w:color w:val="000000"/>
      </w:rPr>
    </w:r>
    <w:r>
      <w:rPr>
        <w:color w:val="00000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-1134" w:firstLine="1134"/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>
      <w:rPr>
        <w:color w:val="000000"/>
      </w:rPr>
    </w:r>
    <w:r>
      <w:rPr>
        <w:color w:val="00000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pStyle w:val="986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22"/>
  </w:num>
  <w:num w:numId="3">
    <w:abstractNumId w:val="23"/>
  </w:num>
  <w:num w:numId="4">
    <w:abstractNumId w:val="20"/>
  </w:num>
  <w:num w:numId="5">
    <w:abstractNumId w:val="13"/>
  </w:num>
  <w:num w:numId="6">
    <w:abstractNumId w:val="12"/>
  </w:num>
  <w:num w:numId="7">
    <w:abstractNumId w:val="7"/>
  </w:num>
  <w:num w:numId="8">
    <w:abstractNumId w:val="0"/>
  </w:num>
  <w:num w:numId="9">
    <w:abstractNumId w:val="19"/>
  </w:num>
  <w:num w:numId="10">
    <w:abstractNumId w:val="5"/>
  </w:num>
  <w:num w:numId="11">
    <w:abstractNumId w:val="16"/>
  </w:num>
  <w:num w:numId="12">
    <w:abstractNumId w:val="6"/>
  </w:num>
  <w:num w:numId="13">
    <w:abstractNumId w:val="21"/>
  </w:num>
  <w:num w:numId="14">
    <w:abstractNumId w:val="1"/>
  </w:num>
  <w:num w:numId="15">
    <w:abstractNumId w:val="4"/>
  </w:num>
  <w:num w:numId="16">
    <w:abstractNumId w:val="24"/>
  </w:num>
  <w:num w:numId="17">
    <w:abstractNumId w:val="14"/>
  </w:num>
  <w:num w:numId="18">
    <w:abstractNumId w:val="11"/>
  </w:num>
  <w:num w:numId="19">
    <w:abstractNumId w:val="2"/>
  </w:num>
  <w:num w:numId="20">
    <w:abstractNumId w:val="15"/>
  </w:num>
  <w:num w:numId="21">
    <w:abstractNumId w:val="8"/>
  </w:num>
  <w:num w:numId="22">
    <w:abstractNumId w:val="18"/>
  </w:num>
  <w:num w:numId="23">
    <w:abstractNumId w:val="10"/>
  </w:num>
  <w:num w:numId="24">
    <w:abstractNumId w:val="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6">
    <w:name w:val="Heading 1 Char"/>
    <w:basedOn w:val="779"/>
    <w:link w:val="770"/>
    <w:uiPriority w:val="9"/>
    <w:rPr>
      <w:rFonts w:ascii="Arial" w:hAnsi="Arial" w:eastAsia="Arial" w:cs="Arial"/>
      <w:sz w:val="40"/>
      <w:szCs w:val="40"/>
    </w:rPr>
  </w:style>
  <w:style w:type="character" w:styleId="757">
    <w:name w:val="Heading 3 Char"/>
    <w:basedOn w:val="779"/>
    <w:link w:val="772"/>
    <w:uiPriority w:val="9"/>
    <w:rPr>
      <w:rFonts w:ascii="Arial" w:hAnsi="Arial" w:eastAsia="Arial" w:cs="Arial"/>
      <w:sz w:val="30"/>
      <w:szCs w:val="30"/>
    </w:rPr>
  </w:style>
  <w:style w:type="character" w:styleId="758">
    <w:name w:val="Heading 4 Char"/>
    <w:basedOn w:val="779"/>
    <w:link w:val="773"/>
    <w:uiPriority w:val="9"/>
    <w:rPr>
      <w:rFonts w:ascii="Arial" w:hAnsi="Arial" w:eastAsia="Arial" w:cs="Arial"/>
      <w:b/>
      <w:bCs/>
      <w:sz w:val="26"/>
      <w:szCs w:val="26"/>
    </w:rPr>
  </w:style>
  <w:style w:type="character" w:styleId="759">
    <w:name w:val="Heading 5 Char"/>
    <w:basedOn w:val="779"/>
    <w:link w:val="774"/>
    <w:uiPriority w:val="9"/>
    <w:rPr>
      <w:rFonts w:ascii="Arial" w:hAnsi="Arial" w:eastAsia="Arial" w:cs="Arial"/>
      <w:b/>
      <w:bCs/>
      <w:sz w:val="24"/>
      <w:szCs w:val="24"/>
    </w:rPr>
  </w:style>
  <w:style w:type="character" w:styleId="760">
    <w:name w:val="Heading 6 Char"/>
    <w:basedOn w:val="779"/>
    <w:link w:val="775"/>
    <w:uiPriority w:val="9"/>
    <w:rPr>
      <w:rFonts w:ascii="Arial" w:hAnsi="Arial" w:eastAsia="Arial" w:cs="Arial"/>
      <w:b/>
      <w:bCs/>
      <w:sz w:val="22"/>
      <w:szCs w:val="22"/>
    </w:rPr>
  </w:style>
  <w:style w:type="character" w:styleId="761">
    <w:name w:val="Heading 7 Char"/>
    <w:basedOn w:val="779"/>
    <w:link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>
    <w:name w:val="Heading 8 Char"/>
    <w:basedOn w:val="779"/>
    <w:link w:val="777"/>
    <w:uiPriority w:val="9"/>
    <w:rPr>
      <w:rFonts w:ascii="Arial" w:hAnsi="Arial" w:eastAsia="Arial" w:cs="Arial"/>
      <w:i/>
      <w:iCs/>
      <w:sz w:val="22"/>
      <w:szCs w:val="22"/>
    </w:rPr>
  </w:style>
  <w:style w:type="character" w:styleId="763">
    <w:name w:val="Heading 9 Char"/>
    <w:basedOn w:val="779"/>
    <w:link w:val="778"/>
    <w:uiPriority w:val="9"/>
    <w:rPr>
      <w:rFonts w:ascii="Arial" w:hAnsi="Arial" w:eastAsia="Arial" w:cs="Arial"/>
      <w:i/>
      <w:iCs/>
      <w:sz w:val="21"/>
      <w:szCs w:val="21"/>
    </w:rPr>
  </w:style>
  <w:style w:type="character" w:styleId="764">
    <w:name w:val="Title Char"/>
    <w:basedOn w:val="779"/>
    <w:link w:val="933"/>
    <w:uiPriority w:val="10"/>
    <w:rPr>
      <w:sz w:val="48"/>
      <w:szCs w:val="48"/>
    </w:rPr>
  </w:style>
  <w:style w:type="character" w:styleId="765">
    <w:name w:val="Subtitle Char"/>
    <w:basedOn w:val="779"/>
    <w:link w:val="935"/>
    <w:uiPriority w:val="11"/>
    <w:rPr>
      <w:sz w:val="24"/>
      <w:szCs w:val="24"/>
    </w:rPr>
  </w:style>
  <w:style w:type="character" w:styleId="766">
    <w:name w:val="Quote Char"/>
    <w:link w:val="794"/>
    <w:uiPriority w:val="29"/>
    <w:rPr>
      <w:i/>
    </w:rPr>
  </w:style>
  <w:style w:type="character" w:styleId="767">
    <w:name w:val="Intense Quote Char"/>
    <w:link w:val="796"/>
    <w:uiPriority w:val="30"/>
    <w:rPr>
      <w:i/>
    </w:rPr>
  </w:style>
  <w:style w:type="character" w:styleId="768">
    <w:name w:val="Endnote Text Char"/>
    <w:link w:val="928"/>
    <w:uiPriority w:val="99"/>
    <w:rPr>
      <w:sz w:val="20"/>
    </w:rPr>
  </w:style>
  <w:style w:type="paragraph" w:styleId="769" w:default="1">
    <w:name w:val="Normal"/>
    <w:qFormat/>
  </w:style>
  <w:style w:type="paragraph" w:styleId="770">
    <w:name w:val="Heading 1"/>
    <w:basedOn w:val="769"/>
    <w:next w:val="769"/>
    <w:link w:val="782"/>
    <w:uiPriority w:val="9"/>
    <w:qFormat/>
    <w:pPr>
      <w:keepNext/>
      <w:spacing w:before="240" w:after="120" w:line="360" w:lineRule="auto"/>
      <w:outlineLvl w:val="0"/>
    </w:pPr>
    <w:rPr>
      <w:rFonts w:ascii="Arial" w:hAnsi="Arial" w:eastAsia="Arial" w:cs="Arial"/>
      <w:b/>
      <w:smallCaps/>
      <w:color w:val="2c8de6"/>
      <w:sz w:val="36"/>
      <w:szCs w:val="36"/>
    </w:rPr>
  </w:style>
  <w:style w:type="paragraph" w:styleId="771">
    <w:name w:val="Heading 2"/>
    <w:basedOn w:val="769"/>
    <w:next w:val="769"/>
    <w:link w:val="968"/>
    <w:uiPriority w:val="9"/>
    <w:unhideWhenUsed/>
    <w:qFormat/>
    <w:pPr>
      <w:keepNext/>
      <w:spacing w:before="240" w:after="120" w:line="360" w:lineRule="auto"/>
      <w:outlineLvl w:val="1"/>
    </w:pPr>
    <w:rPr>
      <w:rFonts w:ascii="Arial" w:hAnsi="Arial" w:eastAsia="Arial" w:cs="Arial"/>
      <w:b/>
      <w:sz w:val="28"/>
      <w:szCs w:val="28"/>
    </w:rPr>
  </w:style>
  <w:style w:type="paragraph" w:styleId="772">
    <w:name w:val="Heading 3"/>
    <w:basedOn w:val="769"/>
    <w:next w:val="769"/>
    <w:link w:val="784"/>
    <w:uiPriority w:val="9"/>
    <w:unhideWhenUsed/>
    <w:qFormat/>
    <w:pPr>
      <w:keepNext/>
      <w:spacing w:before="120" w:after="0" w:line="360" w:lineRule="auto"/>
      <w:outlineLvl w:val="2"/>
    </w:pPr>
    <w:rPr>
      <w:rFonts w:ascii="Arial" w:hAnsi="Arial" w:eastAsia="Arial" w:cs="Arial"/>
      <w:b/>
    </w:rPr>
  </w:style>
  <w:style w:type="paragraph" w:styleId="773">
    <w:name w:val="Heading 4"/>
    <w:basedOn w:val="769"/>
    <w:next w:val="769"/>
    <w:link w:val="785"/>
    <w:uiPriority w:val="9"/>
    <w:semiHidden/>
    <w:unhideWhenUsed/>
    <w:qFormat/>
    <w:pPr>
      <w:keepNext/>
      <w:spacing w:after="0" w:line="360" w:lineRule="auto"/>
      <w:widowControl w:val="off"/>
      <w:outlineLvl w:val="3"/>
    </w:pPr>
    <w:rPr>
      <w:rFonts w:ascii="Arial" w:hAnsi="Arial" w:eastAsia="Arial" w:cs="Arial"/>
      <w:b/>
      <w:sz w:val="28"/>
      <w:szCs w:val="28"/>
    </w:rPr>
  </w:style>
  <w:style w:type="paragraph" w:styleId="774">
    <w:name w:val="Heading 5"/>
    <w:basedOn w:val="769"/>
    <w:next w:val="769"/>
    <w:link w:val="786"/>
    <w:uiPriority w:val="9"/>
    <w:semiHidden/>
    <w:unhideWhenUsed/>
    <w:qFormat/>
    <w:pPr>
      <w:jc w:val="both"/>
      <w:keepNext/>
      <w:spacing w:after="0" w:line="360" w:lineRule="auto"/>
      <w:widowControl w:val="off"/>
      <w:outlineLvl w:val="4"/>
    </w:pPr>
    <w:rPr>
      <w:rFonts w:ascii="Arial" w:hAnsi="Arial" w:eastAsia="Arial" w:cs="Arial"/>
      <w:b/>
      <w:sz w:val="28"/>
      <w:szCs w:val="28"/>
    </w:rPr>
  </w:style>
  <w:style w:type="paragraph" w:styleId="775">
    <w:name w:val="Heading 6"/>
    <w:basedOn w:val="769"/>
    <w:next w:val="769"/>
    <w:link w:val="787"/>
    <w:uiPriority w:val="9"/>
    <w:semiHidden/>
    <w:unhideWhenUsed/>
    <w:qFormat/>
    <w:pPr>
      <w:keepNext/>
      <w:spacing w:after="58" w:line="360" w:lineRule="auto"/>
      <w:widowControl w:val="off"/>
      <w:outlineLvl w:val="5"/>
    </w:pPr>
    <w:rPr>
      <w:rFonts w:ascii="Arial" w:hAnsi="Arial" w:eastAsia="Arial" w:cs="Arial"/>
      <w:b/>
      <w:sz w:val="24"/>
      <w:szCs w:val="24"/>
    </w:rPr>
  </w:style>
  <w:style w:type="paragraph" w:styleId="776">
    <w:name w:val="Heading 7"/>
    <w:basedOn w:val="769"/>
    <w:next w:val="769"/>
    <w:link w:val="7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77">
    <w:name w:val="Heading 8"/>
    <w:basedOn w:val="769"/>
    <w:next w:val="769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78">
    <w:name w:val="Heading 9"/>
    <w:basedOn w:val="769"/>
    <w:next w:val="769"/>
    <w:link w:val="7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9" w:default="1">
    <w:name w:val="Default Paragraph Font"/>
    <w:uiPriority w:val="1"/>
    <w:semiHidden/>
    <w:unhideWhenUsed/>
  </w:style>
  <w:style w:type="table" w:styleId="7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1" w:default="1">
    <w:name w:val="No List"/>
    <w:uiPriority w:val="99"/>
    <w:semiHidden/>
    <w:unhideWhenUsed/>
  </w:style>
  <w:style w:type="character" w:styleId="782" w:customStyle="1">
    <w:name w:val="Заголовок 1 Знак"/>
    <w:basedOn w:val="779"/>
    <w:link w:val="770"/>
    <w:uiPriority w:val="9"/>
    <w:rPr>
      <w:rFonts w:ascii="Arial" w:hAnsi="Arial" w:eastAsia="Arial" w:cs="Arial"/>
      <w:sz w:val="40"/>
      <w:szCs w:val="40"/>
    </w:rPr>
  </w:style>
  <w:style w:type="character" w:styleId="783" w:customStyle="1">
    <w:name w:val="Heading 2 Char"/>
    <w:basedOn w:val="779"/>
    <w:uiPriority w:val="9"/>
    <w:rPr>
      <w:rFonts w:ascii="Arial" w:hAnsi="Arial" w:eastAsia="Arial" w:cs="Arial"/>
      <w:sz w:val="34"/>
    </w:rPr>
  </w:style>
  <w:style w:type="character" w:styleId="784" w:customStyle="1">
    <w:name w:val="Заголовок 3 Знак"/>
    <w:basedOn w:val="779"/>
    <w:link w:val="772"/>
    <w:uiPriority w:val="9"/>
    <w:rPr>
      <w:rFonts w:ascii="Arial" w:hAnsi="Arial" w:eastAsia="Arial" w:cs="Arial"/>
      <w:sz w:val="30"/>
      <w:szCs w:val="30"/>
    </w:rPr>
  </w:style>
  <w:style w:type="character" w:styleId="785" w:customStyle="1">
    <w:name w:val="Заголовок 4 Знак"/>
    <w:basedOn w:val="779"/>
    <w:link w:val="773"/>
    <w:uiPriority w:val="9"/>
    <w:rPr>
      <w:rFonts w:ascii="Arial" w:hAnsi="Arial" w:eastAsia="Arial" w:cs="Arial"/>
      <w:b/>
      <w:bCs/>
      <w:sz w:val="26"/>
      <w:szCs w:val="26"/>
    </w:rPr>
  </w:style>
  <w:style w:type="character" w:styleId="786" w:customStyle="1">
    <w:name w:val="Заголовок 5 Знак"/>
    <w:basedOn w:val="779"/>
    <w:link w:val="774"/>
    <w:uiPriority w:val="9"/>
    <w:rPr>
      <w:rFonts w:ascii="Arial" w:hAnsi="Arial" w:eastAsia="Arial" w:cs="Arial"/>
      <w:b/>
      <w:bCs/>
      <w:sz w:val="24"/>
      <w:szCs w:val="24"/>
    </w:rPr>
  </w:style>
  <w:style w:type="character" w:styleId="787" w:customStyle="1">
    <w:name w:val="Заголовок 6 Знак"/>
    <w:basedOn w:val="779"/>
    <w:link w:val="775"/>
    <w:uiPriority w:val="9"/>
    <w:rPr>
      <w:rFonts w:ascii="Arial" w:hAnsi="Arial" w:eastAsia="Arial" w:cs="Arial"/>
      <w:b/>
      <w:bCs/>
      <w:sz w:val="22"/>
      <w:szCs w:val="22"/>
    </w:rPr>
  </w:style>
  <w:style w:type="character" w:styleId="788" w:customStyle="1">
    <w:name w:val="Заголовок 7 Знак"/>
    <w:basedOn w:val="779"/>
    <w:link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9" w:customStyle="1">
    <w:name w:val="Заголовок 8 Знак"/>
    <w:basedOn w:val="779"/>
    <w:link w:val="777"/>
    <w:uiPriority w:val="9"/>
    <w:rPr>
      <w:rFonts w:ascii="Arial" w:hAnsi="Arial" w:eastAsia="Arial" w:cs="Arial"/>
      <w:i/>
      <w:iCs/>
      <w:sz w:val="22"/>
      <w:szCs w:val="22"/>
    </w:rPr>
  </w:style>
  <w:style w:type="character" w:styleId="790" w:customStyle="1">
    <w:name w:val="Заголовок 9 Знак"/>
    <w:basedOn w:val="779"/>
    <w:link w:val="778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No Spacing"/>
    <w:uiPriority w:val="1"/>
    <w:qFormat/>
    <w:pPr>
      <w:spacing w:after="0" w:line="240" w:lineRule="auto"/>
    </w:pPr>
  </w:style>
  <w:style w:type="character" w:styleId="792" w:customStyle="1">
    <w:name w:val="Заголовок Знак"/>
    <w:basedOn w:val="779"/>
    <w:link w:val="933"/>
    <w:uiPriority w:val="10"/>
    <w:rPr>
      <w:sz w:val="48"/>
      <w:szCs w:val="48"/>
    </w:rPr>
  </w:style>
  <w:style w:type="character" w:styleId="793" w:customStyle="1">
    <w:name w:val="Подзаголовок Знак"/>
    <w:basedOn w:val="779"/>
    <w:link w:val="935"/>
    <w:uiPriority w:val="11"/>
    <w:rPr>
      <w:sz w:val="24"/>
      <w:szCs w:val="24"/>
    </w:rPr>
  </w:style>
  <w:style w:type="paragraph" w:styleId="794">
    <w:name w:val="Quote"/>
    <w:basedOn w:val="769"/>
    <w:next w:val="769"/>
    <w:link w:val="795"/>
    <w:uiPriority w:val="29"/>
    <w:qFormat/>
    <w:pPr>
      <w:ind w:left="720" w:right="720"/>
    </w:pPr>
    <w:rPr>
      <w:i/>
    </w:rPr>
  </w:style>
  <w:style w:type="character" w:styleId="795" w:customStyle="1">
    <w:name w:val="Цитата 2 Знак"/>
    <w:link w:val="794"/>
    <w:uiPriority w:val="29"/>
    <w:rPr>
      <w:i/>
    </w:rPr>
  </w:style>
  <w:style w:type="paragraph" w:styleId="796">
    <w:name w:val="Intense Quote"/>
    <w:basedOn w:val="769"/>
    <w:next w:val="769"/>
    <w:link w:val="7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 w:customStyle="1">
    <w:name w:val="Выделенная цитата Знак"/>
    <w:link w:val="796"/>
    <w:uiPriority w:val="30"/>
    <w:rPr>
      <w:i/>
    </w:rPr>
  </w:style>
  <w:style w:type="character" w:styleId="798" w:customStyle="1">
    <w:name w:val="Header Char"/>
    <w:basedOn w:val="779"/>
    <w:uiPriority w:val="99"/>
  </w:style>
  <w:style w:type="character" w:styleId="799" w:customStyle="1">
    <w:name w:val="Footer Char"/>
    <w:basedOn w:val="779"/>
    <w:uiPriority w:val="99"/>
  </w:style>
  <w:style w:type="paragraph" w:styleId="800">
    <w:name w:val="Caption"/>
    <w:basedOn w:val="769"/>
    <w:next w:val="7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1" w:customStyle="1">
    <w:name w:val="Caption Char"/>
    <w:uiPriority w:val="99"/>
  </w:style>
  <w:style w:type="table" w:styleId="802" w:customStyle="1">
    <w:name w:val="Table Grid Light"/>
    <w:basedOn w:val="78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3">
    <w:name w:val="Plain Table 1"/>
    <w:basedOn w:val="78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78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4"/>
    <w:basedOn w:val="7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 w:customStyle="1">
    <w:name w:val="Grid Table 4 - Accent 1"/>
    <w:basedOn w:val="7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1" w:customStyle="1">
    <w:name w:val="Grid Table 4 - Accent 2"/>
    <w:basedOn w:val="7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Grid Table 4 - Accent 3"/>
    <w:basedOn w:val="7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3" w:customStyle="1">
    <w:name w:val="Grid Table 4 - Accent 4"/>
    <w:basedOn w:val="7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Grid Table 4 - Accent 5"/>
    <w:basedOn w:val="7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5" w:customStyle="1">
    <w:name w:val="Grid Table 4 - Accent 6"/>
    <w:basedOn w:val="78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6">
    <w:name w:val="Grid Table 5 Dark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3">
    <w:name w:val="Grid Table 6 Colorful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4" w:customStyle="1">
    <w:name w:val="Grid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5" w:customStyle="1">
    <w:name w:val="Grid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6" w:customStyle="1">
    <w:name w:val="Grid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7" w:customStyle="1">
    <w:name w:val="Grid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8" w:customStyle="1">
    <w:name w:val="Grid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9" w:customStyle="1">
    <w:name w:val="Grid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0">
    <w:name w:val="Grid Table 7 Colorful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Grid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Grid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Grid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Grid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Grid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Grid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>
    <w:name w:val="List Table 1 Light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1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2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3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4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5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6"/>
    <w:basedOn w:val="78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1">
    <w:name w:val="List Table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>
    <w:name w:val="List Table 6 Colorful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3" w:customStyle="1">
    <w:name w:val="List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4" w:customStyle="1">
    <w:name w:val="List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5" w:customStyle="1">
    <w:name w:val="List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6" w:customStyle="1">
    <w:name w:val="List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7" w:customStyle="1">
    <w:name w:val="List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8" w:customStyle="1">
    <w:name w:val="List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9">
    <w:name w:val="List Table 7 Colorful"/>
    <w:basedOn w:val="7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0" w:customStyle="1">
    <w:name w:val="List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1" w:customStyle="1">
    <w:name w:val="List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2" w:customStyle="1">
    <w:name w:val="List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List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4" w:customStyle="1">
    <w:name w:val="List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List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8" w:customStyle="1">
    <w:name w:val="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9" w:customStyle="1">
    <w:name w:val="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0" w:customStyle="1">
    <w:name w:val="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1" w:customStyle="1">
    <w:name w:val="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2" w:customStyle="1">
    <w:name w:val="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3" w:customStyle="1">
    <w:name w:val="Bordered &amp; 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Bordered &amp; 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5" w:customStyle="1">
    <w:name w:val="Bordered &amp; 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6" w:customStyle="1">
    <w:name w:val="Bordered &amp; 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7" w:customStyle="1">
    <w:name w:val="Bordered &amp; 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8" w:customStyle="1">
    <w:name w:val="Bordered &amp; 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9" w:customStyle="1">
    <w:name w:val="Bordered &amp; 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0" w:customStyle="1">
    <w:name w:val="Bordered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1" w:customStyle="1">
    <w:name w:val="Bordered - Accent 1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2" w:customStyle="1">
    <w:name w:val="Bordered - Accent 2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3" w:customStyle="1">
    <w:name w:val="Bordered - Accent 3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4" w:customStyle="1">
    <w:name w:val="Bordered - Accent 4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5" w:customStyle="1">
    <w:name w:val="Bordered - Accent 5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6" w:customStyle="1">
    <w:name w:val="Bordered - Accent 6"/>
    <w:basedOn w:val="78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7" w:customStyle="1">
    <w:name w:val="Footnote Text Char"/>
    <w:uiPriority w:val="99"/>
    <w:rPr>
      <w:sz w:val="18"/>
    </w:rPr>
  </w:style>
  <w:style w:type="paragraph" w:styleId="928">
    <w:name w:val="endnote text"/>
    <w:basedOn w:val="769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 w:customStyle="1">
    <w:name w:val="Текст концевой сноски Знак"/>
    <w:link w:val="928"/>
    <w:uiPriority w:val="99"/>
    <w:rPr>
      <w:sz w:val="20"/>
    </w:rPr>
  </w:style>
  <w:style w:type="character" w:styleId="930">
    <w:name w:val="endnote reference"/>
    <w:basedOn w:val="779"/>
    <w:uiPriority w:val="99"/>
    <w:semiHidden/>
    <w:unhideWhenUsed/>
    <w:rPr>
      <w:vertAlign w:val="superscript"/>
    </w:rPr>
  </w:style>
  <w:style w:type="paragraph" w:styleId="931">
    <w:name w:val="table of figures"/>
    <w:basedOn w:val="769"/>
    <w:next w:val="769"/>
    <w:uiPriority w:val="99"/>
    <w:unhideWhenUsed/>
    <w:pPr>
      <w:spacing w:after="0"/>
    </w:pPr>
  </w:style>
  <w:style w:type="table" w:styleId="932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33">
    <w:name w:val="Title"/>
    <w:basedOn w:val="769"/>
    <w:next w:val="769"/>
    <w:link w:val="792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table" w:styleId="934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35">
    <w:name w:val="Subtitle"/>
    <w:basedOn w:val="769"/>
    <w:next w:val="769"/>
    <w:link w:val="793"/>
    <w:rPr>
      <w:color w:val="5a5a5a"/>
    </w:rPr>
  </w:style>
  <w:style w:type="table" w:styleId="936" w:customStyle="1">
    <w:name w:val="StGen0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37" w:customStyle="1">
    <w:name w:val="StGen1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38" w:customStyle="1">
    <w:name w:val="StGen2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39" w:customStyle="1">
    <w:name w:val="StGen3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40" w:customStyle="1">
    <w:name w:val="StGen4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41" w:customStyle="1">
    <w:name w:val="StGen5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42" w:customStyle="1">
    <w:name w:val="StGen6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43" w:customStyle="1">
    <w:name w:val="StGen7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44" w:customStyle="1">
    <w:name w:val="StGen8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45" w:customStyle="1">
    <w:name w:val="StGen9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46" w:customStyle="1">
    <w:name w:val="StGen10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47" w:customStyle="1">
    <w:name w:val="StGen11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48" w:customStyle="1">
    <w:name w:val="StGen12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49" w:customStyle="1">
    <w:name w:val="StGen13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50" w:customStyle="1">
    <w:name w:val="StGen14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51" w:customStyle="1">
    <w:name w:val="StGen15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52" w:customStyle="1">
    <w:name w:val="StGen16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53" w:customStyle="1">
    <w:name w:val="StGen17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54" w:customStyle="1">
    <w:name w:val="StGen18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55" w:customStyle="1">
    <w:name w:val="StGen19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56" w:customStyle="1">
    <w:name w:val="StGen20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57" w:customStyle="1">
    <w:name w:val="StGen21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58" w:customStyle="1">
    <w:name w:val="StGen22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59" w:customStyle="1">
    <w:name w:val="StGen23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60" w:customStyle="1">
    <w:name w:val="StGen24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61" w:customStyle="1">
    <w:name w:val="StGen25"/>
    <w:basedOn w:val="934"/>
    <w:tblPr>
      <w:tblStyleRowBandSize w:val="1"/>
      <w:tblStyleColBandSize w:val="1"/>
      <w:tblCellMar>
        <w:left w:w="142" w:type="dxa"/>
        <w:top w:w="85" w:type="dxa"/>
        <w:right w:w="142" w:type="dxa"/>
        <w:bottom w:w="85" w:type="dxa"/>
      </w:tblCellMar>
    </w:tblPr>
  </w:style>
  <w:style w:type="table" w:styleId="962" w:customStyle="1">
    <w:name w:val="StGen26"/>
    <w:basedOn w:val="93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963" w:customStyle="1">
    <w:name w:val="StGen27"/>
    <w:basedOn w:val="934"/>
    <w:tblPr>
      <w:tblStyleRowBandSize w:val="1"/>
      <w:tblStyleColBandSize w:val="1"/>
      <w:tblCellMar>
        <w:left w:w="115" w:type="dxa"/>
        <w:top w:w="144" w:type="dxa"/>
        <w:right w:w="115" w:type="dxa"/>
        <w:bottom w:w="144" w:type="dxa"/>
      </w:tblCellMar>
    </w:tblPr>
  </w:style>
  <w:style w:type="paragraph" w:styleId="964">
    <w:name w:val="annotation text"/>
    <w:basedOn w:val="769"/>
    <w:link w:val="96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65" w:customStyle="1">
    <w:name w:val="Текст примечания Знак"/>
    <w:basedOn w:val="779"/>
    <w:link w:val="964"/>
    <w:uiPriority w:val="99"/>
    <w:semiHidden/>
    <w:rPr>
      <w:sz w:val="20"/>
      <w:szCs w:val="20"/>
    </w:rPr>
  </w:style>
  <w:style w:type="character" w:styleId="966">
    <w:name w:val="annotation reference"/>
    <w:basedOn w:val="779"/>
    <w:uiPriority w:val="99"/>
    <w:semiHidden/>
    <w:unhideWhenUsed/>
    <w:rPr>
      <w:sz w:val="16"/>
      <w:szCs w:val="16"/>
    </w:rPr>
  </w:style>
  <w:style w:type="paragraph" w:styleId="967">
    <w:name w:val="List Paragraph"/>
    <w:basedOn w:val="769"/>
    <w:uiPriority w:val="34"/>
    <w:qFormat/>
    <w:pPr>
      <w:contextualSpacing/>
      <w:ind w:left="720"/>
    </w:pPr>
  </w:style>
  <w:style w:type="character" w:styleId="968" w:customStyle="1">
    <w:name w:val="Заголовок 2 Знак"/>
    <w:basedOn w:val="779"/>
    <w:link w:val="771"/>
    <w:uiPriority w:val="9"/>
    <w:rPr>
      <w:rFonts w:ascii="Arial" w:hAnsi="Arial" w:eastAsia="Arial" w:cs="Arial"/>
      <w:b/>
      <w:sz w:val="28"/>
      <w:szCs w:val="28"/>
    </w:rPr>
  </w:style>
  <w:style w:type="paragraph" w:styleId="969">
    <w:name w:val="toc 2"/>
    <w:basedOn w:val="769"/>
    <w:next w:val="769"/>
    <w:uiPriority w:val="39"/>
    <w:unhideWhenUsed/>
    <w:pPr>
      <w:ind w:left="220"/>
      <w:spacing w:after="100"/>
    </w:pPr>
  </w:style>
  <w:style w:type="character" w:styleId="970">
    <w:name w:val="Hyperlink"/>
    <w:basedOn w:val="779"/>
    <w:uiPriority w:val="99"/>
    <w:unhideWhenUsed/>
    <w:rPr>
      <w:color w:val="0000ff" w:themeColor="hyperlink"/>
      <w:u w:val="single"/>
    </w:rPr>
  </w:style>
  <w:style w:type="paragraph" w:styleId="971">
    <w:name w:val="toc 1"/>
    <w:basedOn w:val="769"/>
    <w:next w:val="769"/>
    <w:uiPriority w:val="39"/>
    <w:unhideWhenUsed/>
    <w:pPr>
      <w:spacing w:after="100"/>
    </w:pPr>
  </w:style>
  <w:style w:type="paragraph" w:styleId="972">
    <w:name w:val="toc 3"/>
    <w:basedOn w:val="769"/>
    <w:next w:val="769"/>
    <w:uiPriority w:val="39"/>
    <w:unhideWhenUsed/>
    <w:pPr>
      <w:jc w:val="both"/>
      <w:spacing w:after="100"/>
      <w:tabs>
        <w:tab w:val="left" w:pos="851" w:leader="none"/>
        <w:tab w:val="right" w:pos="10205" w:leader="none"/>
      </w:tabs>
    </w:pPr>
  </w:style>
  <w:style w:type="table" w:styleId="973">
    <w:name w:val="Table Grid"/>
    <w:basedOn w:val="78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74">
    <w:name w:val="Header"/>
    <w:basedOn w:val="769"/>
    <w:link w:val="9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5" w:customStyle="1">
    <w:name w:val="Верхний колонтитул Знак"/>
    <w:basedOn w:val="779"/>
    <w:link w:val="974"/>
    <w:uiPriority w:val="99"/>
  </w:style>
  <w:style w:type="paragraph" w:styleId="976">
    <w:name w:val="Footer"/>
    <w:basedOn w:val="769"/>
    <w:link w:val="9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7" w:customStyle="1">
    <w:name w:val="Нижний колонтитул Знак"/>
    <w:basedOn w:val="779"/>
    <w:link w:val="976"/>
    <w:uiPriority w:val="99"/>
  </w:style>
  <w:style w:type="paragraph" w:styleId="978" w:customStyle="1">
    <w:name w:val="!заголовок-2"/>
    <w:basedOn w:val="771"/>
    <w:link w:val="980"/>
    <w:qFormat/>
    <w:rPr>
      <w:rFonts w:ascii="Times New Roman" w:hAnsi="Times New Roman" w:eastAsia="Times New Roman" w:cs="Times New Roman"/>
      <w:szCs w:val="24"/>
      <w:lang w:eastAsia="en-US"/>
    </w:rPr>
  </w:style>
  <w:style w:type="paragraph" w:styleId="979" w:customStyle="1">
    <w:name w:val="!Текст"/>
    <w:basedOn w:val="769"/>
    <w:link w:val="981"/>
    <w:qFormat/>
    <w:pPr>
      <w:jc w:val="both"/>
      <w:spacing w:after="0" w:line="360" w:lineRule="auto"/>
    </w:pPr>
    <w:rPr>
      <w:rFonts w:ascii="Times New Roman" w:hAnsi="Times New Roman" w:eastAsia="Times New Roman" w:cs="Times New Roman"/>
      <w:szCs w:val="20"/>
    </w:rPr>
  </w:style>
  <w:style w:type="character" w:styleId="980" w:customStyle="1">
    <w:name w:val="!заголовок-2 Знак"/>
    <w:link w:val="978"/>
    <w:rPr>
      <w:rFonts w:ascii="Times New Roman" w:hAnsi="Times New Roman" w:eastAsia="Times New Roman" w:cs="Times New Roman"/>
      <w:b/>
      <w:sz w:val="28"/>
      <w:szCs w:val="24"/>
      <w:lang w:eastAsia="en-US"/>
    </w:rPr>
  </w:style>
  <w:style w:type="character" w:styleId="981" w:customStyle="1">
    <w:name w:val="!Текст Знак"/>
    <w:link w:val="979"/>
    <w:rPr>
      <w:rFonts w:ascii="Times New Roman" w:hAnsi="Times New Roman" w:eastAsia="Times New Roman" w:cs="Times New Roman"/>
      <w:szCs w:val="20"/>
    </w:rPr>
  </w:style>
  <w:style w:type="paragraph" w:styleId="982">
    <w:name w:val="footnote text"/>
    <w:basedOn w:val="769"/>
    <w:link w:val="98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83" w:customStyle="1">
    <w:name w:val="Текст сноски Знак"/>
    <w:basedOn w:val="779"/>
    <w:link w:val="982"/>
    <w:uiPriority w:val="99"/>
    <w:semiHidden/>
    <w:rPr>
      <w:sz w:val="20"/>
      <w:szCs w:val="20"/>
    </w:rPr>
  </w:style>
  <w:style w:type="character" w:styleId="984">
    <w:name w:val="footnote reference"/>
    <w:basedOn w:val="779"/>
    <w:uiPriority w:val="99"/>
    <w:semiHidden/>
    <w:unhideWhenUsed/>
    <w:rPr>
      <w:vertAlign w:val="superscript"/>
    </w:rPr>
  </w:style>
  <w:style w:type="character" w:styleId="985" w:customStyle="1">
    <w:name w:val="Неразрешенное упоминание1"/>
    <w:basedOn w:val="779"/>
    <w:uiPriority w:val="99"/>
    <w:semiHidden/>
    <w:unhideWhenUsed/>
    <w:rPr>
      <w:color w:val="605e5c"/>
      <w:shd w:val="clear" w:color="auto" w:fill="e1dfdd"/>
    </w:rPr>
  </w:style>
  <w:style w:type="paragraph" w:styleId="986" w:customStyle="1">
    <w:name w:val="bullet"/>
    <w:basedOn w:val="769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 w:eastAsia="en-US"/>
    </w:rPr>
  </w:style>
  <w:style w:type="character" w:styleId="987">
    <w:name w:val="Placeholder Text"/>
    <w:basedOn w:val="779"/>
    <w:uiPriority w:val="99"/>
    <w:semiHidden/>
    <w:rPr>
      <w:color w:val="808080"/>
    </w:rPr>
  </w:style>
  <w:style w:type="paragraph" w:styleId="988">
    <w:name w:val="toc 4"/>
    <w:basedOn w:val="769"/>
    <w:next w:val="769"/>
    <w:uiPriority w:val="39"/>
    <w:unhideWhenUsed/>
    <w:pPr>
      <w:ind w:left="660"/>
      <w:spacing w:after="100"/>
    </w:pPr>
    <w:rPr>
      <w:rFonts w:asciiTheme="minorHAnsi" w:hAnsiTheme="minorHAnsi" w:eastAsiaTheme="minorEastAsia" w:cstheme="minorBidi"/>
    </w:rPr>
  </w:style>
  <w:style w:type="paragraph" w:styleId="989">
    <w:name w:val="toc 5"/>
    <w:basedOn w:val="769"/>
    <w:next w:val="769"/>
    <w:uiPriority w:val="39"/>
    <w:unhideWhenUsed/>
    <w:pPr>
      <w:ind w:left="880"/>
      <w:spacing w:after="100"/>
    </w:pPr>
    <w:rPr>
      <w:rFonts w:asciiTheme="minorHAnsi" w:hAnsiTheme="minorHAnsi" w:eastAsiaTheme="minorEastAsia" w:cstheme="minorBidi"/>
    </w:rPr>
  </w:style>
  <w:style w:type="paragraph" w:styleId="990">
    <w:name w:val="toc 6"/>
    <w:basedOn w:val="769"/>
    <w:next w:val="769"/>
    <w:uiPriority w:val="39"/>
    <w:unhideWhenUsed/>
    <w:pPr>
      <w:ind w:left="1100"/>
      <w:spacing w:after="100"/>
    </w:pPr>
    <w:rPr>
      <w:rFonts w:asciiTheme="minorHAnsi" w:hAnsiTheme="minorHAnsi" w:eastAsiaTheme="minorEastAsia" w:cstheme="minorBidi"/>
    </w:rPr>
  </w:style>
  <w:style w:type="paragraph" w:styleId="991">
    <w:name w:val="toc 7"/>
    <w:basedOn w:val="769"/>
    <w:next w:val="769"/>
    <w:uiPriority w:val="39"/>
    <w:unhideWhenUsed/>
    <w:pPr>
      <w:ind w:left="1320"/>
      <w:spacing w:after="100"/>
    </w:pPr>
    <w:rPr>
      <w:rFonts w:asciiTheme="minorHAnsi" w:hAnsiTheme="minorHAnsi" w:eastAsiaTheme="minorEastAsia" w:cstheme="minorBidi"/>
    </w:rPr>
  </w:style>
  <w:style w:type="paragraph" w:styleId="992">
    <w:name w:val="toc 8"/>
    <w:basedOn w:val="769"/>
    <w:next w:val="769"/>
    <w:uiPriority w:val="39"/>
    <w:unhideWhenUsed/>
    <w:pPr>
      <w:ind w:left="1540"/>
      <w:spacing w:after="100"/>
    </w:pPr>
    <w:rPr>
      <w:rFonts w:asciiTheme="minorHAnsi" w:hAnsiTheme="minorHAnsi" w:eastAsiaTheme="minorEastAsia" w:cstheme="minorBidi"/>
    </w:rPr>
  </w:style>
  <w:style w:type="paragraph" w:styleId="993">
    <w:name w:val="toc 9"/>
    <w:basedOn w:val="769"/>
    <w:next w:val="769"/>
    <w:uiPriority w:val="39"/>
    <w:unhideWhenUsed/>
    <w:pPr>
      <w:ind w:left="1760"/>
      <w:spacing w:after="100"/>
    </w:pPr>
    <w:rPr>
      <w:rFonts w:asciiTheme="minorHAnsi" w:hAnsiTheme="minorHAnsi" w:eastAsiaTheme="minorEastAsia" w:cstheme="minorBidi"/>
    </w:rPr>
  </w:style>
  <w:style w:type="paragraph" w:styleId="994">
    <w:name w:val="annotation subject"/>
    <w:basedOn w:val="964"/>
    <w:next w:val="964"/>
    <w:link w:val="995"/>
    <w:uiPriority w:val="99"/>
    <w:semiHidden/>
    <w:unhideWhenUsed/>
    <w:rPr>
      <w:b/>
      <w:bCs/>
    </w:rPr>
  </w:style>
  <w:style w:type="character" w:styleId="995" w:customStyle="1">
    <w:name w:val="Тема примечания Знак"/>
    <w:basedOn w:val="965"/>
    <w:link w:val="994"/>
    <w:uiPriority w:val="99"/>
    <w:semiHidden/>
    <w:rPr>
      <w:b/>
      <w:bCs/>
      <w:sz w:val="20"/>
      <w:szCs w:val="20"/>
    </w:rPr>
  </w:style>
  <w:style w:type="paragraph" w:styleId="996">
    <w:name w:val="TOC Heading"/>
    <w:basedOn w:val="770"/>
    <w:next w:val="769"/>
    <w:uiPriority w:val="39"/>
    <w:unhideWhenUsed/>
    <w:qFormat/>
    <w:pPr>
      <w:keepLines/>
      <w:spacing w:after="0" w:line="259" w:lineRule="auto"/>
      <w:outlineLvl w:val="9"/>
    </w:pPr>
    <w:rPr>
      <w:rFonts w:asciiTheme="majorHAnsi" w:hAnsiTheme="majorHAnsi" w:eastAsiaTheme="majorEastAsia" w:cstheme="majorBidi"/>
      <w:b w:val="0"/>
      <w:smallCaps w:val="0"/>
      <w:color w:val="365f91" w:themeColor="accent1" w:themeShade="BF"/>
      <w:sz w:val="32"/>
      <w:szCs w:val="32"/>
    </w:rPr>
  </w:style>
  <w:style w:type="paragraph" w:styleId="997" w:customStyle="1">
    <w:name w:val="StGen28"/>
    <w:basedOn w:val="769"/>
    <w:next w:val="99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98">
    <w:name w:val="Normal (Web)"/>
    <w:basedOn w:val="769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character" w:styleId="999">
    <w:name w:val="FollowedHyperlink"/>
    <w:basedOn w:val="779"/>
    <w:uiPriority w:val="99"/>
    <w:semiHidden/>
    <w:unhideWhenUsed/>
    <w:rPr>
      <w:color w:val="800080" w:themeColor="followedHyperlink"/>
      <w:u w:val="single"/>
    </w:rPr>
  </w:style>
  <w:style w:type="paragraph" w:styleId="1000">
    <w:name w:val="Balloon Text"/>
    <w:basedOn w:val="769"/>
    <w:link w:val="100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001" w:customStyle="1">
    <w:name w:val="Текст выноски Знак"/>
    <w:basedOn w:val="779"/>
    <w:link w:val="1000"/>
    <w:uiPriority w:val="99"/>
    <w:semiHidden/>
    <w:rPr>
      <w:rFonts w:ascii="Segoe UI" w:hAnsi="Segoe UI" w:cs="Segoe UI"/>
      <w:sz w:val="18"/>
      <w:szCs w:val="18"/>
    </w:rPr>
  </w:style>
  <w:style w:type="paragraph" w:styleId="1002">
    <w:name w:val="Body Text"/>
    <w:basedOn w:val="769"/>
    <w:link w:val="1003"/>
    <w:uiPriority w:val="1"/>
    <w:qFormat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8"/>
      <w:szCs w:val="28"/>
    </w:rPr>
  </w:style>
  <w:style w:type="character" w:styleId="1003" w:customStyle="1">
    <w:name w:val="Основной текст Знак"/>
    <w:basedOn w:val="779"/>
    <w:link w:val="1002"/>
    <w:uiPriority w:val="1"/>
    <w:rPr>
      <w:rFonts w:ascii="Times New Roman" w:hAnsi="Times New Roman" w:cs="Times New Roman" w:eastAsiaTheme="minorEastAsia"/>
      <w:sz w:val="28"/>
      <w:szCs w:val="28"/>
    </w:rPr>
  </w:style>
  <w:style w:type="table" w:styleId="1004" w:customStyle="1">
    <w:name w:val="StGen29"/>
    <w:basedOn w:val="93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05" w:customStyle="1">
    <w:name w:val="StGen30"/>
    <w:basedOn w:val="93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06" w:customStyle="1">
    <w:name w:val="StGen31"/>
    <w:basedOn w:val="93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07" w:customStyle="1">
    <w:name w:val="StGen32"/>
    <w:basedOn w:val="93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08" w:customStyle="1">
    <w:name w:val="StGen33"/>
    <w:basedOn w:val="93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image" Target="media/image6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UsgkxtiTQ0MhtIepw9IGxdndD2g==">AMUW2mV5BYjHDBBWpsXP46KkXTpcKHgfVM6JqlEW5lIqEF8FrR+1LN6qqbOQHOzVttOVtyNeY2ak0SNNtBFfIiabWPoMwAmq7uTl3PJrz2N3SFWdmgJ27ysEUjFIGwumsikY5R5MiXIne0kBI/2CVra+Luvxb4hh2MC1gdk3x054L4djWBo9zKio+s9/GgAEB+MJyA7vMBpliyGKO41l4hcZTbxCisWod4faC7kwC8cQtrJ73Ga8hOy2rUxjaGzirEXyXX9LYU78V/HTqcocFeZnnvL+RpODqVSXq0rrhVlXfyctt3ZCXRVr+lSSZiDr8faoftOQQ4Pm</go:docsCustomData>
</go:gDocsCustomXmlDataStorage>
</file>

<file path=customXml/itemProps1.xml><?xml version="1.0" encoding="utf-8"?>
<ds:datastoreItem xmlns:ds="http://schemas.openxmlformats.org/officeDocument/2006/customXml" ds:itemID="{2C706073-D2DE-4AEB-A3D1-26C51AEC82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Мария Бабалаева</cp:lastModifiedBy>
  <cp:revision>5</cp:revision>
  <dcterms:created xsi:type="dcterms:W3CDTF">2024-03-12T14:21:00Z</dcterms:created>
  <dcterms:modified xsi:type="dcterms:W3CDTF">2024-04-24T06:26:44Z</dcterms:modified>
</cp:coreProperties>
</file>