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441881" cy="134004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«Разработка мобильных приложений»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г.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5n1rbax5wse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Разработка мобильных приложений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 </w:t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:rsidR="00000000" w:rsidDel="00000000" w:rsidP="00000000" w:rsidRDefault="00000000" w:rsidRPr="00000000" w14:paraId="00000016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:rsidR="00000000" w:rsidDel="00000000" w:rsidP="00000000" w:rsidRDefault="00000000" w:rsidRPr="00000000" w14:paraId="0000001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GPS/Глонас,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:rsidR="00000000" w:rsidDel="00000000" w:rsidP="00000000" w:rsidRDefault="00000000" w:rsidRPr="00000000" w14:paraId="0000001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Разработчики приложений могут создавать мобильные приложения, которые доступны для каждой операционной системы телефона или планшета в отдельности. Сегодня мобильное приложение имеет особое значение для 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:rsidR="00000000" w:rsidDel="00000000" w:rsidP="00000000" w:rsidRDefault="00000000" w:rsidRPr="00000000" w14:paraId="00000019">
      <w:pPr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Описание особенностей профессиональной деятельности специалиста</w:t>
      </w:r>
    </w:p>
    <w:p w:rsidR="00000000" w:rsidDel="00000000" w:rsidP="00000000" w:rsidRDefault="00000000" w:rsidRPr="00000000" w14:paraId="0000001A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iOS, Google Android),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24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Креативность: разработчики должны иметь способность генерировать идеи и концепции для приложений.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Тестирование и отладка: разработчики должны уметь тестировать и отлаживать свои работы, чтобы обеспечить качество и надежность  приложений.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bookmarkStart w:colFirst="0" w:colLast="0" w:name="_dofygcy5td0d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:rsidR="00000000" w:rsidDel="00000000" w:rsidP="00000000" w:rsidRDefault="00000000" w:rsidRPr="00000000" w14:paraId="00000022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lereta5y0z1v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Технологии применения в профессиональной деятельности</w:t>
      </w:r>
    </w:p>
    <w:p w:rsidR="00000000" w:rsidDel="00000000" w:rsidP="00000000" w:rsidRDefault="00000000" w:rsidRPr="00000000" w14:paraId="00000023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p6b7714lxad6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rc0ajl81686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Android чаще всего выполняется на Java — объектно-ориентированном, высокоуровневом языке, на котором написано больше 90% всех приложений под андроид. Так же большую популярность набирает язык Kotlin. Если говорить про iOS платформу, то здесь используется современный Swift. Так же как для одной, так и другой платформы все чаще стали использовать кроссплатформенные решения Flutter и React Native. </w:t>
      </w:r>
    </w:p>
    <w:p w:rsidR="00000000" w:rsidDel="00000000" w:rsidP="00000000" w:rsidRDefault="00000000" w:rsidRPr="00000000" w14:paraId="00000025">
      <w:pPr>
        <w:spacing w:after="0" w:before="240" w:line="276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bookmarkStart w:colFirst="0" w:colLast="0" w:name="_7264k8u6zbh9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Особенности внедрения в индустрию, в каких средах применяется</w:t>
      </w:r>
    </w:p>
    <w:p w:rsidR="00000000" w:rsidDel="00000000" w:rsidP="00000000" w:rsidRDefault="00000000" w:rsidRPr="00000000" w14:paraId="00000026">
      <w:pPr>
        <w:spacing w:after="0"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nutrbpv6z4wy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p32n2st8r18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т.д). если это программа, которая помогает решать бизнес-задачи (увеличивать продажи, 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трекеры доставки и прочие). </w:t>
      </w:r>
    </w:p>
    <w:p w:rsidR="00000000" w:rsidDel="00000000" w:rsidP="00000000" w:rsidRDefault="00000000" w:rsidRPr="00000000" w14:paraId="00000028">
      <w:pPr>
        <w:spacing w:after="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gl51481ya18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Мобильное приложение помогает развитию бизнеса следующими инструментами: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9yclw2kldj1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тачпоинт с клиентом. 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2gm17qfxiqyv" w:id="12"/>
      <w:bookmarkEnd w:id="1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Бизнес может предлагать клиенту дополнительные бонусы только за то, что он использует приложение. 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snsyqkl9huu" w:id="13"/>
      <w:bookmarkEnd w:id="1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5ak9p2hzttft" w:id="14"/>
      <w:bookmarkEnd w:id="1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push-уведомления.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2dgc0i3g3n1" w:id="15"/>
      <w:bookmarkEnd w:id="1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геопозиции и предпочтениям). 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1covzqc5p7sc" w:id="16"/>
      <w:bookmarkEnd w:id="1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vnma9mbdlx5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00000" w:rsidDel="00000000" w:rsidP="00000000" w:rsidRDefault="00000000" w:rsidRPr="00000000" w14:paraId="00000032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ФГОС СПО: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ФГОС 09.02.07 Информационные системы и программирование, 9  декабря 2016 г. N 1547, Министерства образования и науки Российской Федерации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Профессиональный стандарт:</w:t>
      </w:r>
    </w:p>
    <w:p w:rsidR="00000000" w:rsidDel="00000000" w:rsidP="00000000" w:rsidRDefault="00000000" w:rsidRPr="00000000" w14:paraId="00000036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06.001  Профессиональный стандарт "Программист", утвержден приказом Министерства труда и социальной защиты Российской Федерации от 18 ноября 2013 г. № 679н </w:t>
      </w:r>
    </w:p>
    <w:p w:rsidR="00000000" w:rsidDel="00000000" w:rsidP="00000000" w:rsidRDefault="00000000" w:rsidRPr="00000000" w14:paraId="0000003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Федерацииот 12 декабря 2016г. № 896н </w:t>
      </w:r>
    </w:p>
    <w:p w:rsidR="00000000" w:rsidDel="00000000" w:rsidP="00000000" w:rsidRDefault="00000000" w:rsidRPr="00000000" w14:paraId="00000038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06.025  Профессиональный стандарт "Разработчик Web и мультимедийных приложений", утвержден приказом Министерства труда и социальной защиты Российской Федерации от 18 января 2017 г. № 44н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06.004 Специалист по тестированию в области информационных технологий,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утвержден приказом Министерства труда и социальной защиты Российской Федерации от 02 сентября 2021 г. № 531н 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06.012 Менеджер продуктов в области информационных технологий,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утвержден приказом Министерства труда и социальной защиты Российской Федерации от 16 сентября 2021 г. № 636н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06.019 Технический писатель (Специалист по технической документации в области ИТ),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утвержден приказом Министерства труда и социальной защиты Российской Федерации от 03 октября 2022 г. № 609н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ЕТКС:</w:t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Times New Roman" w:cs="Times New Roman" w:eastAsia="Times New Roman" w:hAnsi="Times New Roman"/>
          <w:sz w:val="29"/>
          <w:szCs w:val="29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ЕКТС Инженер-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highlight w:val="white"/>
          <w:rtl w:val="0"/>
        </w:rPr>
        <w:t xml:space="preserve">программист утвержденные Постановлением Минтруда РФ от 21.08.1998 № 37 (редакция от 15.05.2013)</w:t>
      </w:r>
    </w:p>
    <w:p w:rsidR="00000000" w:rsidDel="00000000" w:rsidP="00000000" w:rsidRDefault="00000000" w:rsidRPr="00000000" w14:paraId="0000003E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ГОСТы: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ГОСТ Р 51904-2002 "Государственный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СанПин:</w:t>
      </w:r>
    </w:p>
    <w:p w:rsidR="00000000" w:rsidDel="00000000" w:rsidP="00000000" w:rsidRDefault="00000000" w:rsidRPr="00000000" w14:paraId="00000041">
      <w:pPr>
        <w:spacing w:after="0" w:line="276" w:lineRule="auto"/>
        <w:ind w:firstLine="708.661417322834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2.4.3648-20), 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</w:p>
    <w:p w:rsidR="00000000" w:rsidDel="00000000" w:rsidP="00000000" w:rsidRDefault="00000000" w:rsidRPr="00000000" w14:paraId="00000042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9"/>
        <w:gridCol w:w="8356"/>
        <w:tblGridChange w:id="0">
          <w:tblGrid>
            <w:gridCol w:w="989"/>
            <w:gridCol w:w="8356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Сопровождение развития существующего ИТ-продукта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требований и проектирование программного обеспечения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Оформление и компоновка технической документации на продукцию в сфере информационно-коммуникационных технологий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Подготовка интерфейсной графики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Проектирование и дизайн интерфейса по готовому образцу или концепции интерфейса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 и отладка программного кода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Разработка, администрирование и защита баз данных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Проверка работоспособности и рефакторинг кода программного обеспечения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Подготовка тестовых данных и выполнение тестовых процедур ПО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Разработка тестовых случаев, проведение тестирования ПО и исследование результатов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