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ED52D9">
        <w:tc>
          <w:tcPr>
            <w:tcW w:w="5670" w:type="dxa"/>
          </w:tcPr>
          <w:p w14:paraId="47F3FA14" w14:textId="77777777" w:rsidR="00666BDD" w:rsidRDefault="00666BDD" w:rsidP="00ED52D9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B8AE5E9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53229" w:rsidRPr="00E53229">
            <w:rPr>
              <w:rFonts w:ascii="Times New Roman" w:eastAsia="Arial Unicode MS" w:hAnsi="Times New Roman" w:cs="Times New Roman"/>
              <w:sz w:val="40"/>
              <w:szCs w:val="40"/>
            </w:rPr>
            <w:t>БУХГАЛТЕРСКИЙ УЧЕТ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3E7CF0AC" w14:textId="45622D54" w:rsidR="00EB4FF8" w:rsidRPr="00EB4FF8" w:rsidRDefault="00E53229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Пермский край</w:t>
          </w:r>
        </w:p>
        <w:p w14:paraId="7D975935" w14:textId="07C379DD" w:rsidR="00334165" w:rsidRPr="00A204BB" w:rsidRDefault="00C226B5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324DEF5D" w14:textId="77777777" w:rsidR="006F7478" w:rsidRDefault="006F7478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656A1900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4B84A6A" w14:textId="77777777" w:rsidR="006F7478" w:rsidRPr="006F7478" w:rsidRDefault="0029547E" w:rsidP="006F7478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begin"/>
      </w:r>
      <w:r w:rsidRPr="006F7478">
        <w:rPr>
          <w:rFonts w:ascii="Times New Roman" w:hAnsi="Times New Roman"/>
          <w:sz w:val="28"/>
          <w:szCs w:val="24"/>
          <w:lang w:val="ru-RU" w:eastAsia="ru-RU"/>
        </w:rPr>
        <w:instrText xml:space="preserve"> TOC \o "1-2" \h \z \u </w:instrText>
      </w:r>
      <w:r w:rsidRPr="006F7478">
        <w:rPr>
          <w:rFonts w:ascii="Times New Roman" w:hAnsi="Times New Roman"/>
          <w:sz w:val="28"/>
          <w:szCs w:val="24"/>
          <w:lang w:val="ru-RU" w:eastAsia="ru-RU"/>
        </w:rPr>
        <w:fldChar w:fldCharType="separate"/>
      </w:r>
      <w:hyperlink w:anchor="_Toc166051557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1. ОСНОВНЫЕ ТРЕБОВАНИЯ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_Toc166051557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4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1D0B89EE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58" w:history="1">
        <w:r w:rsidR="006F7478" w:rsidRPr="006F7478">
          <w:rPr>
            <w:rStyle w:val="ae"/>
            <w:noProof/>
            <w:sz w:val="28"/>
            <w:szCs w:val="24"/>
          </w:rPr>
          <w:t>1.1. ОБЩИЕ СВЕДЕНИЯ О ТРЕБОВАНИЯХ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_Toc166051558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5EB7413E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59" w:history="1">
        <w:r w:rsidR="006F7478" w:rsidRPr="006F7478">
          <w:rPr>
            <w:rStyle w:val="ae"/>
            <w:noProof/>
            <w:sz w:val="28"/>
            <w:szCs w:val="24"/>
          </w:rPr>
          <w:t>1.2. ПЕРЕЧЕНЬ ПРОФЕССИОНАЛЬНЫХ ЗАДАЧ СПЕЦИАЛИСТА ПО КОМПЕТЕНЦИИ «БУХГАЛТЕРСКИЙ УЧЕТ»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_Toc166051559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4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374EDE8C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0" w:history="1">
        <w:r w:rsidR="006F7478" w:rsidRPr="006F7478">
          <w:rPr>
            <w:rStyle w:val="ae"/>
            <w:noProof/>
            <w:sz w:val="28"/>
            <w:szCs w:val="24"/>
          </w:rPr>
          <w:t>1.3. ТРЕБОВАНИЯ К СХЕМЕ ОЦЕНКИ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_Toc166051560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7BC7C1F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1" w:history="1">
        <w:r w:rsidR="006F7478" w:rsidRPr="006F7478">
          <w:rPr>
            <w:rStyle w:val="ae"/>
            <w:noProof/>
            <w:sz w:val="28"/>
            <w:szCs w:val="24"/>
          </w:rPr>
          <w:t>1.4. СПЕЦИФИКАЦИЯ ОЦЕНКИ КОМПЕТЕНЦИИ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_Toc166051561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11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44F2943E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2" w:history="1">
        <w:r w:rsidR="006F7478" w:rsidRPr="006F7478">
          <w:rPr>
            <w:rStyle w:val="ae"/>
            <w:noProof/>
            <w:sz w:val="28"/>
            <w:szCs w:val="24"/>
          </w:rPr>
          <w:t>1.5. КОНКУРСНОЕ ЗАДАНИЕ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_Toc166051562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292DE657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3" w:history="1">
        <w:r w:rsidR="006F7478" w:rsidRPr="006F7478">
          <w:rPr>
            <w:rStyle w:val="ae"/>
            <w:noProof/>
            <w:sz w:val="28"/>
            <w:szCs w:val="24"/>
          </w:rPr>
          <w:t>1.5.1. Разработка/выбор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_Toc166051563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12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60EA6CF2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4" w:history="1">
        <w:r w:rsidR="006F7478" w:rsidRPr="006F7478">
          <w:rPr>
            <w:rStyle w:val="ae"/>
            <w:noProof/>
            <w:sz w:val="28"/>
            <w:szCs w:val="24"/>
          </w:rPr>
          <w:t>1.5.2. Структура модулей конкурсного задания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_Toc166051564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13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627BD9" w14:textId="77777777" w:rsidR="006F7478" w:rsidRPr="006F7478" w:rsidRDefault="00C226B5" w:rsidP="006F7478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5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2. СПЕЦИАЛЬНЫЕ ПРАВИЛА КОМПЕТЕНЦИИ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_Toc166051565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21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0935F7F2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6" w:history="1">
        <w:r w:rsidR="006F7478" w:rsidRPr="006F7478">
          <w:rPr>
            <w:rStyle w:val="ae"/>
            <w:noProof/>
            <w:sz w:val="28"/>
            <w:szCs w:val="24"/>
          </w:rPr>
          <w:t>2.1. Личный инструмент конкурсанта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_Toc166051566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7675B6A8" w14:textId="77777777" w:rsidR="006F7478" w:rsidRPr="006F7478" w:rsidRDefault="00C226B5" w:rsidP="006F7478">
      <w:pPr>
        <w:pStyle w:val="25"/>
        <w:spacing w:line="276" w:lineRule="auto"/>
        <w:rPr>
          <w:rFonts w:eastAsiaTheme="minorEastAsia"/>
          <w:noProof/>
          <w:sz w:val="28"/>
          <w:szCs w:val="24"/>
        </w:rPr>
      </w:pPr>
      <w:hyperlink w:anchor="_Toc166051567" w:history="1">
        <w:r w:rsidR="006F7478" w:rsidRPr="006F7478">
          <w:rPr>
            <w:rStyle w:val="ae"/>
            <w:noProof/>
            <w:sz w:val="28"/>
            <w:szCs w:val="24"/>
          </w:rPr>
          <w:t>2.2.</w:t>
        </w:r>
        <w:r w:rsidR="006F7478" w:rsidRPr="006F7478">
          <w:rPr>
            <w:rStyle w:val="ae"/>
            <w:i/>
            <w:noProof/>
            <w:sz w:val="28"/>
            <w:szCs w:val="24"/>
          </w:rPr>
          <w:t xml:space="preserve"> </w:t>
        </w:r>
        <w:r w:rsidR="006F7478" w:rsidRPr="006F7478">
          <w:rPr>
            <w:rStyle w:val="ae"/>
            <w:noProof/>
            <w:sz w:val="28"/>
            <w:szCs w:val="24"/>
          </w:rPr>
          <w:t>Материалы, оборудование и инструменты, запрещенные на площадке</w:t>
        </w:r>
        <w:r w:rsidR="006F7478" w:rsidRPr="006F7478">
          <w:rPr>
            <w:noProof/>
            <w:webHidden/>
            <w:sz w:val="28"/>
            <w:szCs w:val="24"/>
          </w:rPr>
          <w:tab/>
        </w:r>
        <w:r w:rsidR="006F7478" w:rsidRPr="006F7478">
          <w:rPr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noProof/>
            <w:webHidden/>
            <w:sz w:val="28"/>
            <w:szCs w:val="24"/>
          </w:rPr>
          <w:instrText xml:space="preserve"> PAGEREF _Toc166051567 \h </w:instrText>
        </w:r>
        <w:r w:rsidR="006F7478" w:rsidRPr="006F7478">
          <w:rPr>
            <w:noProof/>
            <w:webHidden/>
            <w:sz w:val="28"/>
            <w:szCs w:val="24"/>
          </w:rPr>
        </w:r>
        <w:r w:rsidR="006F7478" w:rsidRPr="006F7478">
          <w:rPr>
            <w:noProof/>
            <w:webHidden/>
            <w:sz w:val="28"/>
            <w:szCs w:val="24"/>
          </w:rPr>
          <w:fldChar w:fldCharType="separate"/>
        </w:r>
        <w:r w:rsidR="0048795D">
          <w:rPr>
            <w:noProof/>
            <w:webHidden/>
            <w:sz w:val="28"/>
            <w:szCs w:val="24"/>
          </w:rPr>
          <w:t>23</w:t>
        </w:r>
        <w:r w:rsidR="006F7478" w:rsidRPr="006F7478">
          <w:rPr>
            <w:noProof/>
            <w:webHidden/>
            <w:sz w:val="28"/>
            <w:szCs w:val="24"/>
          </w:rPr>
          <w:fldChar w:fldCharType="end"/>
        </w:r>
      </w:hyperlink>
    </w:p>
    <w:p w14:paraId="1CED50A2" w14:textId="77777777" w:rsidR="006F7478" w:rsidRPr="006F7478" w:rsidRDefault="00C226B5" w:rsidP="006F7478">
      <w:pPr>
        <w:pStyle w:val="11"/>
        <w:tabs>
          <w:tab w:val="clear" w:pos="9825"/>
          <w:tab w:val="right" w:leader="dot" w:pos="9639"/>
        </w:tabs>
        <w:spacing w:line="276" w:lineRule="auto"/>
        <w:rPr>
          <w:rFonts w:ascii="Times New Roman" w:eastAsiaTheme="minorEastAsia" w:hAnsi="Times New Roman"/>
          <w:bCs w:val="0"/>
          <w:noProof/>
          <w:sz w:val="28"/>
          <w:szCs w:val="24"/>
          <w:lang w:val="ru-RU" w:eastAsia="ru-RU"/>
        </w:rPr>
      </w:pPr>
      <w:hyperlink w:anchor="_Toc166051568" w:history="1">
        <w:r w:rsidR="006F7478" w:rsidRPr="006F7478">
          <w:rPr>
            <w:rStyle w:val="ae"/>
            <w:rFonts w:ascii="Times New Roman" w:hAnsi="Times New Roman"/>
            <w:noProof/>
            <w:sz w:val="28"/>
            <w:szCs w:val="24"/>
          </w:rPr>
          <w:t>3. Приложения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tab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begin"/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instrText xml:space="preserve"> PAGEREF _Toc166051568 \h </w:instrTex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separate"/>
        </w:r>
        <w:r w:rsidR="0048795D">
          <w:rPr>
            <w:rFonts w:ascii="Times New Roman" w:hAnsi="Times New Roman"/>
            <w:noProof/>
            <w:webHidden/>
            <w:sz w:val="28"/>
            <w:szCs w:val="24"/>
          </w:rPr>
          <w:t>23</w:t>
        </w:r>
        <w:r w:rsidR="006F7478" w:rsidRPr="006F7478">
          <w:rPr>
            <w:rFonts w:ascii="Times New Roman" w:hAnsi="Times New Roman"/>
            <w:noProof/>
            <w:webHidden/>
            <w:sz w:val="28"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F7478">
        <w:rPr>
          <w:rFonts w:ascii="Times New Roman" w:hAnsi="Times New Roman"/>
          <w:bCs/>
          <w:sz w:val="28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2F37508" w14:textId="77777777" w:rsidR="00E53229" w:rsidRDefault="00E53229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14:paraId="04B31DD1" w14:textId="2722F3E6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45A12E77" w14:textId="0EAAFEAE"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77C5B02F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gramStart"/>
      <w:r>
        <w:rPr>
          <w:rFonts w:ascii="Times New Roman" w:eastAsia="Segoe UI" w:hAnsi="Times New Roman"/>
          <w:sz w:val="28"/>
          <w:szCs w:val="28"/>
          <w:lang w:val="ru-RU" w:bidi="en-US"/>
        </w:rPr>
        <w:t>КЗ</w:t>
      </w:r>
      <w:proofErr w:type="gramEnd"/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Конкурсное задание</w:t>
      </w:r>
    </w:p>
    <w:p w14:paraId="40B2B870" w14:textId="0165ADD3" w:rsidR="00D96994" w:rsidRP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31558E1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ПБУ – Положение по бухгалтерскому учету</w:t>
      </w:r>
    </w:p>
    <w:p w14:paraId="44FF8F92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ФСБУ – Федеральный стандарт бухгалтерского учета</w:t>
      </w:r>
    </w:p>
    <w:p w14:paraId="1B33BA18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НК РФ – Налоговый кодекс РФ</w:t>
      </w:r>
    </w:p>
    <w:p w14:paraId="2A76ED55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ОСВ – </w:t>
      </w:r>
      <w:proofErr w:type="spellStart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оборотно</w:t>
      </w:r>
      <w:proofErr w:type="spellEnd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-сальдовая ведомость</w:t>
      </w:r>
    </w:p>
    <w:p w14:paraId="2F7B9BB7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УПД – универсальный передаточный документ</w:t>
      </w:r>
    </w:p>
    <w:p w14:paraId="34117A0C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ДМС – добровольное медицинское страхование</w:t>
      </w:r>
    </w:p>
    <w:p w14:paraId="1D83EB8A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ИФНС – инспекция федеральной налоговой службы</w:t>
      </w:r>
    </w:p>
    <w:p w14:paraId="68EFC40E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ИНН – идентификационный номер налогоплательщика</w:t>
      </w:r>
    </w:p>
    <w:p w14:paraId="51412C65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ЕГРЮЛ – единый  государственный реестр юридических лиц</w:t>
      </w:r>
    </w:p>
    <w:p w14:paraId="4C50FA54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УСН – упрощенная система налогообложения</w:t>
      </w:r>
    </w:p>
    <w:p w14:paraId="59A047F9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proofErr w:type="gramStart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ОСН</w:t>
      </w:r>
      <w:proofErr w:type="gramEnd"/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 xml:space="preserve"> – общая система налогообложения</w:t>
      </w:r>
    </w:p>
    <w:p w14:paraId="74F60507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НДС – налог на добавленную стоимость</w:t>
      </w:r>
    </w:p>
    <w:p w14:paraId="1D2BDB20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НДФЛ – налог на доходы физического лица</w:t>
      </w:r>
    </w:p>
    <w:p w14:paraId="36821E96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ОКТМО – Общероссийский классификатор территорий муниципальных образований</w:t>
      </w:r>
    </w:p>
    <w:p w14:paraId="38DC30AB" w14:textId="77777777" w:rsidR="00E53229" w:rsidRPr="00E53229" w:rsidRDefault="00E53229" w:rsidP="00E53229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53229">
        <w:rPr>
          <w:rFonts w:ascii="Times New Roman" w:eastAsia="Segoe UI" w:hAnsi="Times New Roman"/>
          <w:sz w:val="28"/>
          <w:szCs w:val="28"/>
          <w:lang w:val="ru-RU" w:bidi="en-US"/>
        </w:rPr>
        <w:t>ОКВЭД – Общероссийский  классификатор видов экономической деятельности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605155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6051558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B52AAC3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3229" w:rsidRPr="00E53229">
        <w:rPr>
          <w:rFonts w:ascii="Times New Roman" w:hAnsi="Times New Roman" w:cs="Times New Roman"/>
          <w:sz w:val="28"/>
          <w:szCs w:val="28"/>
        </w:rPr>
        <w:t>Бухгалтерский учет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AD63051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6051559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53229" w:rsidRPr="00E53229">
        <w:rPr>
          <w:rFonts w:ascii="Times New Roman" w:hAnsi="Times New Roman"/>
          <w:sz w:val="24"/>
        </w:rPr>
        <w:t>БУХГАЛТЕРСКИЙ УЧЕТ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E53229" w:rsidRPr="00BA50BC" w14:paraId="052B0336" w14:textId="77777777" w:rsidTr="00ED52D9">
        <w:tc>
          <w:tcPr>
            <w:tcW w:w="330" w:type="pct"/>
            <w:shd w:val="clear" w:color="auto" w:fill="92D050"/>
            <w:vAlign w:val="center"/>
          </w:tcPr>
          <w:p w14:paraId="74B7D7C2" w14:textId="77777777" w:rsidR="00E53229" w:rsidRPr="00E53229" w:rsidRDefault="00E53229" w:rsidP="00E5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BDD19D3" w14:textId="77777777" w:rsidR="00E53229" w:rsidRPr="00E53229" w:rsidRDefault="00E53229" w:rsidP="00E5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7C34804D" w14:textId="77777777" w:rsidR="00E53229" w:rsidRPr="00E53229" w:rsidRDefault="00E53229" w:rsidP="00E532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Важность </w:t>
            </w:r>
            <w:proofErr w:type="gramStart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E532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  <w:tr w:rsidR="00E53229" w:rsidRPr="00BA50BC" w14:paraId="5BDA1B8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E26DE32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4270B1E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 применения законодательства и регламентирующих документов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8E24767" w14:textId="09C169E3" w:rsidR="00E53229" w:rsidRPr="00BA50BC" w:rsidRDefault="002042E9" w:rsidP="00ED52D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0,7</w:t>
            </w:r>
          </w:p>
        </w:tc>
      </w:tr>
      <w:tr w:rsidR="00E53229" w:rsidRPr="00BA50BC" w14:paraId="5865F61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95ECD1A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4EF4E17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93949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о</w:t>
            </w:r>
            <w:r w:rsidRPr="00BA50BC">
              <w:rPr>
                <w:rFonts w:ascii="Calibri" w:eastAsia="Calibri" w:hAnsi="Calibri" w:cs="Times New Roman"/>
              </w:rPr>
              <w:t xml:space="preserve"> </w:t>
            </w:r>
            <w:hyperlink r:id="rId10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налогах и сборах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1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аудиторской деятельности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2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архивном деле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социальном и медицинском страховании, пенсионном обеспечении; </w:t>
            </w:r>
            <w:hyperlink r:id="rId13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о противодействии коррупции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и коммерческому подкупу, </w:t>
            </w:r>
            <w:hyperlink r:id="rId14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легализации (отмыванию) доходов, полученных преступным путем, и финансированию терроризма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; </w:t>
            </w:r>
            <w:hyperlink r:id="rId15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гражданское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6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таможенное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7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трудовое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8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валютное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hyperlink r:id="rId19" w:history="1">
              <w:r w:rsidRPr="00BA50BC">
                <w:rPr>
                  <w:rFonts w:ascii="Times New Roman" w:eastAsia="Calibri" w:hAnsi="Times New Roman" w:cs="Times New Roman"/>
                  <w:sz w:val="24"/>
                </w:rPr>
                <w:t>бюджетное законодательство</w:t>
              </w:r>
            </w:hyperlink>
            <w:r w:rsidRPr="00BA50BC">
              <w:rPr>
                <w:rFonts w:ascii="Times New Roman" w:eastAsia="Calibri" w:hAnsi="Times New Roman" w:cs="Times New Roman"/>
                <w:sz w:val="24"/>
              </w:rPr>
              <w:t xml:space="preserve"> Российской Федерации; </w:t>
            </w:r>
            <w:r w:rsidRPr="00BA50BC">
              <w:rPr>
                <w:rFonts w:ascii="Times New Roman" w:eastAsia="Calibri" w:hAnsi="Times New Roman" w:cs="Times New Roman"/>
                <w:sz w:val="24"/>
              </w:rPr>
              <w:lastRenderedPageBreak/>
              <w:t>законодательство Российско</w:t>
            </w:r>
            <w:r w:rsidRPr="00BA50BC">
              <w:rPr>
                <w:rFonts w:ascii="Calibri" w:eastAsia="Calibri" w:hAnsi="Calibri" w:cs="Times New Roman"/>
              </w:rPr>
              <w:t xml:space="preserve">й </w:t>
            </w:r>
            <w:r w:rsidRPr="00BA50BC">
              <w:rPr>
                <w:rFonts w:ascii="Times New Roman" w:eastAsia="Calibri" w:hAnsi="Times New Roman" w:cs="Times New Roman"/>
                <w:sz w:val="24"/>
              </w:rPr>
              <w:t>Федерации в сфере деятельности экономического субъекта</w:t>
            </w:r>
            <w:r w:rsidRPr="00BA50BC">
              <w:rPr>
                <w:rFonts w:ascii="Calibri" w:eastAsia="Calibri" w:hAnsi="Calibri" w:cs="Times New Roman"/>
              </w:rPr>
              <w:t>;</w:t>
            </w:r>
            <w:proofErr w:type="gramEnd"/>
          </w:p>
          <w:p w14:paraId="37B7016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нормативные правовые акты, регулирующие порядок проведения инвентаризации активов и обязательств;</w:t>
            </w:r>
          </w:p>
          <w:p w14:paraId="02BC880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нормативные документы, регламентирующие правила стоимостного измерения объектов бухгалтерского учета; </w:t>
            </w:r>
          </w:p>
          <w:p w14:paraId="15BB71A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законодательство Российской Федерации об ответственности за непредставление или представление недостоверной отчетности;</w:t>
            </w:r>
          </w:p>
          <w:p w14:paraId="5304BA5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законодательство Российской Федерации о налогах и сборах, в области социального и медицинского страхования, пенсионного обеспечения, законодательство, регулирующее административное и уголовное право в части ответственности за нарушения в сфере уплаты налогов и сборов; </w:t>
            </w:r>
          </w:p>
          <w:p w14:paraId="776E5B5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внутренние организационно-распорядительные документы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FB25B50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3F839BF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A9E84A7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E53F2A2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8FDCE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мониторинг законодательства Российской Федерации о налогах и сборах, правоприменительной практики и разъяснений государственных органов;</w:t>
            </w:r>
          </w:p>
          <w:p w14:paraId="3B1AA8F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нормативные право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вые акты в учетной деятельности.</w:t>
            </w:r>
          </w:p>
          <w:p w14:paraId="08D1E3A8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77174D2A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77D1F02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74CC2708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7024528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Применение программ для ведения бухгалтерского учета, информационных систем и офисной техники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23F510" w14:textId="6D4AFBFF" w:rsidR="00E53229" w:rsidRPr="00BA50BC" w:rsidRDefault="002042E9" w:rsidP="005A031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53229" w:rsidRPr="00BA50BC" w14:paraId="7D7809D5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61B7268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600E216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1AEE4BD3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программы для ведения бухгалтерского учета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2DF8B6F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обмена информацией по телекоммуникационным каналам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14F4FA7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технологии автоматизированной обработки информации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3A6D19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26E5E1A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11E219A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BFBAFBD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91D89B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профессиональными компьютерными программами для ведения учета;</w:t>
            </w:r>
          </w:p>
          <w:p w14:paraId="532F6363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информационными и справочно-правовыми системами, оргтехникой;</w:t>
            </w:r>
          </w:p>
          <w:p w14:paraId="5C04A5D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общее и профессиональное прикладное программное обеспечение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5AABA7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современные технологии и информационные ресурсы для проверки контрагентов налогоплательщика.</w:t>
            </w:r>
          </w:p>
          <w:p w14:paraId="66780640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594A443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48FD09B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6F1CFB63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5E4ED0A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с документами и организация документооборота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667E02" w14:textId="0484371B" w:rsidR="00E53229" w:rsidRPr="00BA50BC" w:rsidRDefault="005A0319" w:rsidP="00ED52D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7,9</w:t>
            </w:r>
          </w:p>
        </w:tc>
      </w:tr>
      <w:tr w:rsidR="00E53229" w:rsidRPr="00BA50BC" w14:paraId="15AFEC0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E6A760B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53F3F31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668014F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общие требования к документированию хозяйственных действий и операций; </w:t>
            </w:r>
          </w:p>
          <w:p w14:paraId="7F070A9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14:paraId="4C2F1DD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проведения проверки бухгалтерских документов; </w:t>
            </w:r>
          </w:p>
          <w:p w14:paraId="4698EE9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признаки группировки первичных бухгалтерских документов;</w:t>
            </w:r>
          </w:p>
          <w:p w14:paraId="7404F74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первичные учетные документы налогового учета;</w:t>
            </w:r>
          </w:p>
          <w:p w14:paraId="7D8E7CDC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порядок хранения документов.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58F4B0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4301533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FE1465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613058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9888F03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документооборот;</w:t>
            </w:r>
          </w:p>
          <w:p w14:paraId="46E3474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график документооборота;</w:t>
            </w:r>
          </w:p>
          <w:p w14:paraId="1832127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(оформлять), принимать первичные бухгалтерские документы, в том числе электронные;</w:t>
            </w:r>
          </w:p>
          <w:p w14:paraId="53FAFE0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формы первичных учетных документов, регистров; </w:t>
            </w:r>
          </w:p>
          <w:p w14:paraId="5EF01F1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комплексную проверку первичных учетных документов;</w:t>
            </w:r>
          </w:p>
          <w:p w14:paraId="3CE6B42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исправлять ошибки в первичных учетных документах; </w:t>
            </w:r>
          </w:p>
          <w:p w14:paraId="799A892B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первичные учетные документы;</w:t>
            </w:r>
          </w:p>
          <w:p w14:paraId="388D35A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сохранность первичных учетных документов;</w:t>
            </w:r>
          </w:p>
          <w:p w14:paraId="1C4F107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 основе первичных документов сводные учетные документы;</w:t>
            </w:r>
          </w:p>
          <w:p w14:paraId="2037A12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архив учетной и налоговой  документации.</w:t>
            </w:r>
          </w:p>
          <w:p w14:paraId="112E8C5F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1CBD042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72907FE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4E2134A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00ABB1A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группировка и итоговое обобщение учетной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B89749" w14:textId="1B287444" w:rsidR="00E53229" w:rsidRPr="00BA50BC" w:rsidRDefault="002042E9" w:rsidP="005A031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</w:t>
            </w:r>
            <w:r w:rsidR="005A03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53229" w:rsidRPr="00BA50BC" w14:paraId="29B5AEBE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C874CC2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D987CED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3DFD70C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регистров бухгалтерского учета;</w:t>
            </w:r>
          </w:p>
          <w:p w14:paraId="3EDB8217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бухгалтерскими проводками начисления и перечисления сумм налогов и сборов;</w:t>
            </w:r>
          </w:p>
          <w:p w14:paraId="061A8E5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учет расчетов по социальному страхованию и обеспечению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3D44FB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механизм отражения нарастающим итогом на счетах бухгалтерского учета данных за отчетный период;</w:t>
            </w:r>
          </w:p>
          <w:p w14:paraId="4303EA37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обобщения информации о хозяйственных операциях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83D10AF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7507DFC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9FD6619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94293F7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333E2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(разрабатывать) способы ведения бухгалтерского учета и формировать учетную политику экономического субъекта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AE331D5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учет активов, капитала и обязательств организации;</w:t>
            </w:r>
          </w:p>
          <w:p w14:paraId="38FB9AE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бухгалтерские записи в соответствии с рабочим планом счетов экономического субъекта; </w:t>
            </w:r>
          </w:p>
          <w:p w14:paraId="2772B10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ошибки, допущенные при ведении учета, в соответствии с установленными правилами;</w:t>
            </w:r>
          </w:p>
          <w:p w14:paraId="75FDAE2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способы ведения бухгалтерского учета и их последствия;</w:t>
            </w:r>
          </w:p>
          <w:p w14:paraId="200F2E3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заносить данные по сгруппированным документам в регистры учета и регистры налогового учета; </w:t>
            </w:r>
          </w:p>
          <w:p w14:paraId="016CCD3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оборотно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-сальдовые ведомости;</w:t>
            </w:r>
          </w:p>
          <w:p w14:paraId="4609C3FF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 и комплектовать регистры учета за отчетный период;</w:t>
            </w:r>
          </w:p>
          <w:p w14:paraId="7FB0E1A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регистров учета;</w:t>
            </w:r>
          </w:p>
          <w:p w14:paraId="3FCCDA8B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 процесс сверки расчетов;</w:t>
            </w:r>
          </w:p>
          <w:p w14:paraId="30E8E67B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справки, ответы на запросы, содержащие информац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ию, формируемую в системе учета.</w:t>
            </w:r>
          </w:p>
          <w:p w14:paraId="71DECA4E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0B04196F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3CEB598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FDEB0A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192EA4D8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Денежное измерение объектов бухгалтерского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76AD84" w14:textId="184134BE" w:rsidR="00E53229" w:rsidRPr="00BA50BC" w:rsidRDefault="005A0319" w:rsidP="00ED52D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3,1</w:t>
            </w:r>
          </w:p>
        </w:tc>
      </w:tr>
      <w:tr w:rsidR="00E53229" w:rsidRPr="00BA50BC" w14:paraId="757F080E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BD648D7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6B52DCE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FAB1F8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ведения учета активов, капитала и обязательств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организации; </w:t>
            </w:r>
          </w:p>
          <w:p w14:paraId="62E5B39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себестоимости продукции (работ, услуг);</w:t>
            </w:r>
          </w:p>
          <w:p w14:paraId="2127AC8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14:paraId="0A13915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определения результатов хозяйственной деятельности за отчетный период.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BBC6518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C2C14A9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650616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FA73D5B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DE98AD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правила стоимостного измерения объектов бухгалтерского учета;</w:t>
            </w:r>
          </w:p>
          <w:p w14:paraId="438088E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исчислять рублевый эквивалент выраженной в иностранной валюте стоимости активов и обязательств;</w:t>
            </w:r>
          </w:p>
          <w:p w14:paraId="351149E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производить расчеты заработной платы, пособий и иных выплат работникам;</w:t>
            </w:r>
          </w:p>
          <w:p w14:paraId="734E0FE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способы начисления амортизации, принятые в учетной политике;</w:t>
            </w:r>
          </w:p>
          <w:p w14:paraId="14C4954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методы </w:t>
            </w:r>
            <w:proofErr w:type="spell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себестоимости продукции (работ, услуг), составлять отчетные калькуляции;</w:t>
            </w:r>
          </w:p>
          <w:p w14:paraId="549F19DC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отражать в бухгалтерском учете выявленные расхождения между фактическим наличием объектов и данными регистров бухгалтерского учета;</w:t>
            </w:r>
          </w:p>
          <w:p w14:paraId="76AFE3B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отклонения по затратам на материалы, труд, переменные накладные расходы и отклонения по продажам;</w:t>
            </w:r>
          </w:p>
          <w:p w14:paraId="54BEBDD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финансовые результаты деятельности организации по видам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84BD8A" w14:textId="77777777" w:rsidR="00E53229" w:rsidRPr="00BA50BC" w:rsidRDefault="00E53229" w:rsidP="00ED52D9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63681CF7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685E5F81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32216492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61C1253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Налогообложение и налоговый учет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F7D976" w14:textId="4A80027C" w:rsidR="00E53229" w:rsidRPr="00BA50BC" w:rsidRDefault="002042E9" w:rsidP="00ED52D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30,1</w:t>
            </w:r>
          </w:p>
        </w:tc>
      </w:tr>
      <w:tr w:rsidR="00E53229" w:rsidRPr="00BA50BC" w14:paraId="1CF0603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82B753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CBFAE5D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2090FD0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и сроки уплаты обязательных платежей по налогам, сборам, страховым взносам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546D35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налоговой базы;</w:t>
            </w:r>
          </w:p>
          <w:p w14:paraId="3925E75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налогообложения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 исчисления страховых взносов;</w:t>
            </w:r>
          </w:p>
          <w:p w14:paraId="7E2842C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налоговую нагрузку организаций; </w:t>
            </w:r>
          </w:p>
          <w:p w14:paraId="6996AE2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налоговых деклараций по налогам и сборам, отчетов по страховым взносам в ФНС России и государственные внебюджетные </w:t>
            </w: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фонды</w:t>
            </w:r>
            <w:proofErr w:type="gram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процедуру их заполнения и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4A3CA5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требования к организации и ведению налогового учета;</w:t>
            </w:r>
          </w:p>
          <w:p w14:paraId="2A96199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разработки учетной политики в целях налогообложения;</w:t>
            </w:r>
          </w:p>
          <w:p w14:paraId="5B6163B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технологию </w:t>
            </w: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схем налоговой оптим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изации деятельности организации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3C4358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9972F2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4CA7B7E8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471346" w14:textId="77777777" w:rsidR="00E53229" w:rsidRPr="00BA50BC" w:rsidRDefault="00E53229" w:rsidP="00ED52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6BB560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идентифицировать объекты налогообложения; </w:t>
            </w:r>
          </w:p>
          <w:p w14:paraId="2BDFE5B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исчислять налогооблагаемую базу, сумму налога и сбора; </w:t>
            </w:r>
          </w:p>
          <w:p w14:paraId="477D816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идентифицировать объекты налогообложения, исчислять налогооблагаемую базу, сумму взносов в государственные внебюджетные фонды;</w:t>
            </w:r>
          </w:p>
          <w:p w14:paraId="34D9AB3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уплаты налогов, сборов, пошлин;</w:t>
            </w:r>
          </w:p>
          <w:p w14:paraId="1D8A980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информацию первичных учетных и налоговых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документов,  необходимых для исполнения налоговых обязанностей;</w:t>
            </w:r>
          </w:p>
          <w:p w14:paraId="68F6203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и применять эффективный набор инструментов налогового планирования;</w:t>
            </w:r>
          </w:p>
          <w:p w14:paraId="453F1DF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различные способы налоговой оптимизации;</w:t>
            </w:r>
          </w:p>
          <w:p w14:paraId="216CB4B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налоговые последствия для экономического субъекта;</w:t>
            </w:r>
          </w:p>
          <w:p w14:paraId="625CB3BB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оформлять документы, необходимые для исполнения налоговых обязанностей;</w:t>
            </w:r>
          </w:p>
          <w:p w14:paraId="1967E713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налоговую политику экономического субъекта в связи с изменениями законодательства о налогах и сборах;</w:t>
            </w:r>
          </w:p>
          <w:p w14:paraId="42188B1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вести деловую переписку по вопросам, связанным с исполнением обязанностей по исчислению и уплате налогов, страховых взносов, сборов;</w:t>
            </w:r>
          </w:p>
          <w:p w14:paraId="429C93E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обрабатывать информацию при формировани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налоговой отчетности во время осуществления мероприятий внутреннего и налогового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0BE2AE4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налоговые расчеты и декларации;</w:t>
            </w:r>
          </w:p>
          <w:p w14:paraId="1244BDD3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исправлять ошибки в налоговых расчетах и декларациях;</w:t>
            </w:r>
          </w:p>
          <w:p w14:paraId="72330DEF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налоговые расчеты и декларации, финансовую отчетность в надлежащие адреса и в установленные сроки;</w:t>
            </w:r>
          </w:p>
          <w:p w14:paraId="2BAA7233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владеть методами проверки качества составления налоговой отчетности и отчетности в гос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ударственные внебюджетные фонды.</w:t>
            </w:r>
          </w:p>
          <w:p w14:paraId="44EBE96A" w14:textId="77777777" w:rsidR="00E53229" w:rsidRPr="00BA50BC" w:rsidRDefault="00E53229" w:rsidP="00ED52D9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29666E03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6FA19B96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7F89847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6F69C9B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Бухгалтерская (финансовая) отчетность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DE2C4B8" w14:textId="1B8DB94C" w:rsidR="00E53229" w:rsidRPr="00BA50BC" w:rsidRDefault="002042E9" w:rsidP="00ED52D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E53229" w:rsidRPr="00BA50BC" w14:paraId="0D97F08B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25DAB40B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239C8DC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DDB88F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составления и ведения внутренней бухгалтерской отчетности;</w:t>
            </w:r>
          </w:p>
          <w:p w14:paraId="3A22854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содержание форм бухгалтерской финансовой отчетности, процедуру их 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95F15C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бухгалтерской отчетности организации;</w:t>
            </w:r>
          </w:p>
          <w:p w14:paraId="2FD38D9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правила внесения исправлений в бухгалтерскую отчетность в случае выявления неправильного отражения хозяйс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твенных операций.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EAF3CD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BE72445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18F3BBA5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7276CA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744190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обосновывать решения по организации процесса составления и представления бухгалтерской (финансовой) отчетности;</w:t>
            </w:r>
          </w:p>
          <w:p w14:paraId="2A80B567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контроль целевого использования средств, соблюдения финансовой дисциплины и своевременности расчетов;</w:t>
            </w:r>
          </w:p>
          <w:p w14:paraId="26BBE91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существенность информации, раскрываемой в бухгалтерской (финансовой) отчетности;</w:t>
            </w:r>
          </w:p>
          <w:p w14:paraId="11E8F0F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в соответствии с установленными правилами числовые показатели в отчетах, входящих в состав бухгалтерской (финансовой) отчетности;</w:t>
            </w:r>
          </w:p>
          <w:p w14:paraId="3070172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детализировать показатели по статьям форм отчетов, входящих в пояснения к бухгалтерскому балансу и отчету о финансовых результатах;</w:t>
            </w:r>
          </w:p>
          <w:p w14:paraId="5734351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составления бухгал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терской (финансовой) отчетности.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8E48C1F" w14:textId="77777777" w:rsidR="00E53229" w:rsidRPr="00BA50BC" w:rsidRDefault="00E53229" w:rsidP="00ED52D9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42E0248E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2CD52030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5D6725E2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9253F7E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Анализ и бюджетирование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501B04D" w14:textId="543A9574" w:rsidR="00E53229" w:rsidRPr="00BA50BC" w:rsidRDefault="002042E9" w:rsidP="00ED52D9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29,4</w:t>
            </w:r>
          </w:p>
        </w:tc>
      </w:tr>
      <w:tr w:rsidR="00E53229" w:rsidRPr="00BA50BC" w14:paraId="20735EF2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7409D58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4E0EC85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3DE82F5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методы финансового анализа</w:t>
            </w:r>
            <w:r w:rsidRPr="00BA50B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 финансовых вычислений;</w:t>
            </w:r>
          </w:p>
          <w:p w14:paraId="1A52C64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отчетности;</w:t>
            </w:r>
          </w:p>
          <w:p w14:paraId="748D3A07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ликвидности бухгалтерского баланса;</w:t>
            </w:r>
          </w:p>
          <w:p w14:paraId="68F80D23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расчета финансовых коэффициентов для оценки платежеспособности;</w:t>
            </w:r>
          </w:p>
          <w:p w14:paraId="0F1CD57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 критериев оценки несостоятельности (банкротства) организации;</w:t>
            </w:r>
          </w:p>
          <w:p w14:paraId="60357F8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показателей финансовой устойчивости;</w:t>
            </w:r>
          </w:p>
          <w:p w14:paraId="7F6A6DAD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бухгалтерского баланса;</w:t>
            </w:r>
          </w:p>
          <w:p w14:paraId="30FE8DEB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процедуры анализа отчета о финансовых результатах;</w:t>
            </w:r>
          </w:p>
          <w:p w14:paraId="309744D1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и методы общей оценки деловой активности организации,</w:t>
            </w:r>
          </w:p>
          <w:p w14:paraId="3637D49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оценки финансовых результатов, финансового положения и финансовых возможностей организации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14:paraId="16E3E72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текущих финансовых потребностей организации;</w:t>
            </w:r>
          </w:p>
          <w:p w14:paraId="4027500E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4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оценки </w:t>
            </w: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инвестиционных проектов и источников их финансирования;</w:t>
            </w:r>
          </w:p>
          <w:p w14:paraId="3F370C37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бюджетов, включая планирование, информационное взаимодействие, координацию, мотивацию, авторизацию, контроль и оценку;</w:t>
            </w:r>
          </w:p>
          <w:p w14:paraId="3DDC7FBC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процессы и конфликты, которые могут возникнуть; </w:t>
            </w:r>
          </w:p>
          <w:p w14:paraId="4F1D1C6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стратегии ценообразования и их последствия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AD74B60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3229" w:rsidRPr="00BA50BC" w14:paraId="59F95AD4" w14:textId="77777777" w:rsidTr="00ED52D9">
        <w:tc>
          <w:tcPr>
            <w:tcW w:w="330" w:type="pct"/>
            <w:shd w:val="clear" w:color="auto" w:fill="BFBFBF" w:themeFill="background1" w:themeFillShade="BF"/>
            <w:vAlign w:val="center"/>
          </w:tcPr>
          <w:p w14:paraId="050E1ED1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9C0F48C" w14:textId="77777777" w:rsidR="00E53229" w:rsidRPr="00BA50BC" w:rsidRDefault="00E53229" w:rsidP="00ED52D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A725050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источники информации для проведения финансового анализа экономического субъекта;</w:t>
            </w:r>
          </w:p>
          <w:p w14:paraId="1E7FE26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и анализировать финансовый потенциал, ликвидность и платежеспособность, финансовую устойчивость, рентабельность, инвестиционную привлекательность экономического субъекта;</w:t>
            </w:r>
          </w:p>
          <w:p w14:paraId="2B1D855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потенциальные риски и возможности экономического субъекта;</w:t>
            </w:r>
          </w:p>
          <w:p w14:paraId="269191CF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причинно-следственные связи изменений, произошедших за отчетный период;</w:t>
            </w:r>
          </w:p>
          <w:p w14:paraId="399369F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обоснованные выводы по результатам информации, полученной в процессе проведения финансового анализа;</w:t>
            </w:r>
          </w:p>
          <w:p w14:paraId="67544825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аналитические отчеты и представлять их заинтересованным пользователям;</w:t>
            </w:r>
          </w:p>
          <w:p w14:paraId="2760AE7A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проверять качество аналитической информации, полученной в процессе проведения финансового анализа, и выполнять процедуры по ее обобщению;</w:t>
            </w:r>
          </w:p>
          <w:p w14:paraId="43123B89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результаты финансового анализа экономического субъекта для целей бюджетирования и управления денежными потоками;</w:t>
            </w:r>
          </w:p>
          <w:p w14:paraId="2D82DFF8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предлагать действия, которые могут быть приняты для улучшения финансовой эффективности организац</w:t>
            </w:r>
            <w:proofErr w:type="gramStart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финансового положения;</w:t>
            </w:r>
          </w:p>
          <w:p w14:paraId="10D707D6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определять возможность разделения организации на центры ответственности;</w:t>
            </w:r>
          </w:p>
          <w:p w14:paraId="24544EF2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объем работ по бюджетированию и финансовому планированию и потребность в трудовых, финансовых и материально-технических ресурсах;</w:t>
            </w:r>
          </w:p>
          <w:p w14:paraId="51656837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структуру бюджетов денежных средств, а также перспективных и оперативных финансовых планов;</w:t>
            </w:r>
          </w:p>
          <w:p w14:paraId="3A5BD8B4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прогнозные сметы и бюджеты, платежные календари, кассовые планы, обеспечивать составление финансовой части бизнес-планов, расчетов по привлечению кредитов и займов, проспектов эмиссий ценных бумаг экономического субъекта;</w:t>
            </w:r>
          </w:p>
          <w:p w14:paraId="7095393F" w14:textId="77777777" w:rsidR="00E53229" w:rsidRPr="00BA50BC" w:rsidRDefault="00E53229" w:rsidP="00E53229">
            <w:pPr>
              <w:widowControl w:val="0"/>
              <w:numPr>
                <w:ilvl w:val="0"/>
                <w:numId w:val="26"/>
              </w:numPr>
              <w:tabs>
                <w:tab w:val="left" w:pos="34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0BC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отчеты об исполнении бюджетов дене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жных средств, финансовых планов.</w:t>
            </w:r>
          </w:p>
          <w:p w14:paraId="27C20725" w14:textId="77777777" w:rsidR="00E53229" w:rsidRPr="00BA50BC" w:rsidRDefault="00E53229" w:rsidP="00ED52D9">
            <w:pPr>
              <w:widowControl w:val="0"/>
              <w:tabs>
                <w:tab w:val="left" w:pos="3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pct"/>
            <w:shd w:val="clear" w:color="auto" w:fill="auto"/>
            <w:vAlign w:val="center"/>
          </w:tcPr>
          <w:p w14:paraId="5998E796" w14:textId="77777777" w:rsidR="00E53229" w:rsidRPr="00BA50BC" w:rsidRDefault="00E53229" w:rsidP="00ED52D9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1E6216" w14:textId="77777777" w:rsidR="00E53229" w:rsidRPr="00E579D6" w:rsidRDefault="00E53229" w:rsidP="00E5322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5BBF2219" w14:textId="77777777" w:rsidR="00E53229" w:rsidRDefault="00E53229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6051560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2"/>
        <w:gridCol w:w="325"/>
        <w:gridCol w:w="1084"/>
        <w:gridCol w:w="1084"/>
        <w:gridCol w:w="1084"/>
        <w:gridCol w:w="1086"/>
        <w:gridCol w:w="1088"/>
        <w:gridCol w:w="2052"/>
      </w:tblGrid>
      <w:tr w:rsidR="0047113E" w:rsidRPr="00613219" w14:paraId="0A2AADAC" w14:textId="77777777" w:rsidTr="0047113E">
        <w:trPr>
          <w:trHeight w:val="1538"/>
          <w:jc w:val="center"/>
        </w:trPr>
        <w:tc>
          <w:tcPr>
            <w:tcW w:w="3959" w:type="pct"/>
            <w:gridSpan w:val="7"/>
            <w:shd w:val="clear" w:color="auto" w:fill="92D050"/>
            <w:vAlign w:val="center"/>
          </w:tcPr>
          <w:p w14:paraId="1FBCAF52" w14:textId="730933C1" w:rsidR="0047113E" w:rsidRPr="00613219" w:rsidRDefault="0047113E" w:rsidP="00C17B01">
            <w:pPr>
              <w:jc w:val="center"/>
              <w:rPr>
                <w:b/>
              </w:rPr>
            </w:pPr>
            <w:r w:rsidRPr="00613219">
              <w:rPr>
                <w:b/>
              </w:rPr>
              <w:t>Критерий/Модуль</w:t>
            </w:r>
          </w:p>
        </w:tc>
        <w:tc>
          <w:tcPr>
            <w:tcW w:w="1041" w:type="pct"/>
            <w:shd w:val="clear" w:color="auto" w:fill="92D050"/>
            <w:vAlign w:val="center"/>
          </w:tcPr>
          <w:p w14:paraId="2AF4BE06" w14:textId="43F17F2B" w:rsidR="0047113E" w:rsidRPr="00613219" w:rsidRDefault="0047113E" w:rsidP="00C17B01">
            <w:pPr>
              <w:jc w:val="center"/>
              <w:rPr>
                <w:b/>
              </w:rPr>
            </w:pPr>
            <w:r w:rsidRPr="00613219">
              <w:rPr>
                <w:b/>
              </w:rPr>
              <w:t>Итого баллов за раздел ТРЕБОВАНИЙ КОМПЕТЕНЦИИ</w:t>
            </w:r>
          </w:p>
        </w:tc>
      </w:tr>
      <w:tr w:rsidR="0047113E" w:rsidRPr="00613219" w14:paraId="6EDBED15" w14:textId="77777777" w:rsidTr="00837E6A">
        <w:trPr>
          <w:trHeight w:val="50"/>
          <w:jc w:val="center"/>
        </w:trPr>
        <w:tc>
          <w:tcPr>
            <w:tcW w:w="1041" w:type="pct"/>
            <w:vMerge w:val="restart"/>
            <w:shd w:val="clear" w:color="auto" w:fill="92D050"/>
            <w:vAlign w:val="center"/>
          </w:tcPr>
          <w:p w14:paraId="22554985" w14:textId="0EDAD76E" w:rsidR="0047113E" w:rsidRPr="00613219" w:rsidRDefault="0047113E" w:rsidP="003242E1">
            <w:pPr>
              <w:jc w:val="center"/>
              <w:rPr>
                <w:b/>
              </w:rPr>
            </w:pPr>
            <w:r w:rsidRPr="00613219"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14:paraId="3CF24956" w14:textId="77777777" w:rsidR="0047113E" w:rsidRPr="00613219" w:rsidRDefault="0047113E" w:rsidP="00C17B01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550" w:type="pct"/>
            <w:shd w:val="clear" w:color="auto" w:fill="00B050"/>
            <w:vAlign w:val="center"/>
          </w:tcPr>
          <w:p w14:paraId="35F42FCD" w14:textId="77777777" w:rsidR="0047113E" w:rsidRPr="00613219" w:rsidRDefault="0047113E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73DA90DA" w14:textId="11265A4A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Б</w:t>
            </w:r>
          </w:p>
        </w:tc>
        <w:tc>
          <w:tcPr>
            <w:tcW w:w="550" w:type="pct"/>
            <w:shd w:val="clear" w:color="auto" w:fill="00B050"/>
            <w:vAlign w:val="center"/>
          </w:tcPr>
          <w:p w14:paraId="22F4030B" w14:textId="447655FE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В</w:t>
            </w:r>
          </w:p>
        </w:tc>
        <w:tc>
          <w:tcPr>
            <w:tcW w:w="551" w:type="pct"/>
            <w:shd w:val="clear" w:color="auto" w:fill="00B050"/>
            <w:vAlign w:val="center"/>
          </w:tcPr>
          <w:p w14:paraId="06257C9D" w14:textId="6349D297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Г</w:t>
            </w:r>
          </w:p>
        </w:tc>
        <w:tc>
          <w:tcPr>
            <w:tcW w:w="552" w:type="pct"/>
            <w:shd w:val="clear" w:color="auto" w:fill="00B050"/>
            <w:vAlign w:val="center"/>
          </w:tcPr>
          <w:p w14:paraId="672A4EAD" w14:textId="262508A7" w:rsidR="0047113E" w:rsidRPr="00613219" w:rsidRDefault="0047113E" w:rsidP="00C17B01">
            <w:pPr>
              <w:jc w:val="center"/>
              <w:rPr>
                <w:b/>
                <w:color w:val="FFFFFF" w:themeColor="background1"/>
              </w:rPr>
            </w:pPr>
            <w:r w:rsidRPr="00613219">
              <w:rPr>
                <w:b/>
                <w:color w:val="FFFFFF" w:themeColor="background1"/>
              </w:rPr>
              <w:t>Д</w:t>
            </w:r>
          </w:p>
        </w:tc>
        <w:tc>
          <w:tcPr>
            <w:tcW w:w="1041" w:type="pct"/>
            <w:shd w:val="clear" w:color="auto" w:fill="00B050"/>
            <w:vAlign w:val="center"/>
          </w:tcPr>
          <w:p w14:paraId="089247DF" w14:textId="77777777" w:rsidR="0047113E" w:rsidRPr="00613219" w:rsidRDefault="0047113E" w:rsidP="00C17B01">
            <w:pPr>
              <w:ind w:right="172" w:hanging="176"/>
              <w:jc w:val="both"/>
              <w:rPr>
                <w:b/>
              </w:rPr>
            </w:pPr>
          </w:p>
        </w:tc>
      </w:tr>
      <w:tr w:rsidR="00837E6A" w:rsidRPr="00613219" w14:paraId="61D77BE1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232BE1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E5703EC" w14:textId="77777777" w:rsidR="00837E6A" w:rsidRPr="00613219" w:rsidRDefault="00837E6A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1</w:t>
            </w:r>
          </w:p>
        </w:tc>
        <w:tc>
          <w:tcPr>
            <w:tcW w:w="550" w:type="pct"/>
            <w:vAlign w:val="center"/>
          </w:tcPr>
          <w:p w14:paraId="3B3E3C84" w14:textId="445CF550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550" w:type="pct"/>
            <w:vAlign w:val="center"/>
          </w:tcPr>
          <w:p w14:paraId="5DA46E3D" w14:textId="71F44DCC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082615A5" w14:textId="5B6A23D4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551" w:type="pct"/>
            <w:vAlign w:val="center"/>
          </w:tcPr>
          <w:p w14:paraId="38191B9B" w14:textId="08C3E844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644D9C8" w14:textId="12B01936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712CE198" w14:textId="7D9DAEE5" w:rsidR="00837E6A" w:rsidRPr="00613219" w:rsidRDefault="00837E6A" w:rsidP="00C17B01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0,7</w:t>
            </w:r>
          </w:p>
        </w:tc>
      </w:tr>
      <w:tr w:rsidR="00837E6A" w:rsidRPr="00613219" w14:paraId="4EB85C79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2B843BA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20AFA02" w14:textId="77777777" w:rsidR="00837E6A" w:rsidRPr="00613219" w:rsidRDefault="00837E6A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2</w:t>
            </w:r>
          </w:p>
        </w:tc>
        <w:tc>
          <w:tcPr>
            <w:tcW w:w="550" w:type="pct"/>
            <w:vAlign w:val="center"/>
          </w:tcPr>
          <w:p w14:paraId="4A25E47C" w14:textId="127D35CB" w:rsidR="00837E6A" w:rsidRPr="00837E6A" w:rsidRDefault="00837E6A" w:rsidP="005A0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</w:t>
            </w:r>
            <w:r w:rsidR="005A0319">
              <w:rPr>
                <w:sz w:val="24"/>
              </w:rPr>
              <w:t>3</w:t>
            </w:r>
          </w:p>
        </w:tc>
        <w:tc>
          <w:tcPr>
            <w:tcW w:w="550" w:type="pct"/>
            <w:vAlign w:val="center"/>
          </w:tcPr>
          <w:p w14:paraId="2ABB4702" w14:textId="37BDA43B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14:paraId="6D9FE905" w14:textId="11ED540F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551" w:type="pct"/>
            <w:vAlign w:val="center"/>
          </w:tcPr>
          <w:p w14:paraId="2ABB6818" w14:textId="6D64FEFE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552" w:type="pct"/>
            <w:vAlign w:val="center"/>
          </w:tcPr>
          <w:p w14:paraId="72951D2F" w14:textId="434F8717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6E5BB194" w14:textId="77665428" w:rsidR="00837E6A" w:rsidRPr="00837E6A" w:rsidRDefault="00837E6A" w:rsidP="005A03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7,</w:t>
            </w:r>
            <w:r w:rsidR="005A0319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837E6A" w:rsidRPr="00613219" w14:paraId="270858FE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1C06268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C8BD818" w14:textId="77777777" w:rsidR="00837E6A" w:rsidRPr="00613219" w:rsidRDefault="00837E6A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3</w:t>
            </w:r>
          </w:p>
        </w:tc>
        <w:tc>
          <w:tcPr>
            <w:tcW w:w="550" w:type="pct"/>
            <w:vAlign w:val="center"/>
          </w:tcPr>
          <w:p w14:paraId="3BEDDFEB" w14:textId="60367776" w:rsidR="00837E6A" w:rsidRPr="00837E6A" w:rsidRDefault="005A0319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550" w:type="pct"/>
            <w:vAlign w:val="center"/>
          </w:tcPr>
          <w:p w14:paraId="2FB413FD" w14:textId="01523BB0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14:paraId="2A6F8DAE" w14:textId="44E2A281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49B0B9A" w14:textId="5AD5531F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1B18E00D" w14:textId="6CD5A2D9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5C37911" w14:textId="39394264" w:rsidR="00837E6A" w:rsidRPr="00837E6A" w:rsidRDefault="005A0319" w:rsidP="00C17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7,9</w:t>
            </w:r>
          </w:p>
        </w:tc>
      </w:tr>
      <w:tr w:rsidR="00837E6A" w:rsidRPr="00613219" w14:paraId="729DCFA9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64ADD9F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124CBF9" w14:textId="77777777" w:rsidR="00837E6A" w:rsidRPr="00613219" w:rsidRDefault="00837E6A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4</w:t>
            </w:r>
          </w:p>
        </w:tc>
        <w:tc>
          <w:tcPr>
            <w:tcW w:w="550" w:type="pct"/>
            <w:vAlign w:val="center"/>
          </w:tcPr>
          <w:p w14:paraId="7BB1AD33" w14:textId="0C438C6C" w:rsidR="00837E6A" w:rsidRPr="00837E6A" w:rsidRDefault="00837E6A" w:rsidP="005A031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</w:t>
            </w:r>
            <w:r w:rsidR="005A0319">
              <w:rPr>
                <w:sz w:val="24"/>
              </w:rPr>
              <w:t>6</w:t>
            </w:r>
          </w:p>
        </w:tc>
        <w:tc>
          <w:tcPr>
            <w:tcW w:w="550" w:type="pct"/>
            <w:vAlign w:val="center"/>
          </w:tcPr>
          <w:p w14:paraId="6A4E8200" w14:textId="7FFAD1AA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60DE24C5" w14:textId="01AA5E93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4535938D" w14:textId="1049FE38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36A56F9" w14:textId="417DC060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CA64B26" w14:textId="064702F2" w:rsidR="00837E6A" w:rsidRPr="00837E6A" w:rsidRDefault="00837E6A" w:rsidP="005A031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10,</w:t>
            </w:r>
            <w:r w:rsidR="005A0319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37E6A" w:rsidRPr="00613219" w14:paraId="22BB9E7A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2B3484F3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18DD302D" w14:textId="77777777" w:rsidR="00837E6A" w:rsidRPr="00613219" w:rsidRDefault="00837E6A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5</w:t>
            </w:r>
          </w:p>
        </w:tc>
        <w:tc>
          <w:tcPr>
            <w:tcW w:w="550" w:type="pct"/>
            <w:vAlign w:val="center"/>
          </w:tcPr>
          <w:p w14:paraId="788DF647" w14:textId="326BD438" w:rsidR="00837E6A" w:rsidRPr="00837E6A" w:rsidRDefault="005A0319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550" w:type="pct"/>
            <w:vAlign w:val="center"/>
          </w:tcPr>
          <w:p w14:paraId="792DEA04" w14:textId="25CEE2BB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71778EC4" w14:textId="3457C289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12ACE406" w14:textId="1F705ACA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0DB48689" w14:textId="44DE4E58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A57BB5C" w14:textId="18B5FBE8" w:rsidR="00837E6A" w:rsidRPr="00837E6A" w:rsidRDefault="005A0319" w:rsidP="00C17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837E6A" w:rsidRPr="00613219" w14:paraId="78D47C38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2BB70EF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3BE846A8" w14:textId="77777777" w:rsidR="00837E6A" w:rsidRPr="00613219" w:rsidRDefault="00837E6A" w:rsidP="00C17B01">
            <w:pPr>
              <w:jc w:val="center"/>
              <w:rPr>
                <w:b/>
                <w:color w:val="FFFFFF" w:themeColor="background1"/>
                <w:lang w:val="en-US"/>
              </w:rPr>
            </w:pPr>
            <w:r w:rsidRPr="00613219">
              <w:rPr>
                <w:b/>
                <w:color w:val="FFFFFF" w:themeColor="background1"/>
                <w:lang w:val="en-US"/>
              </w:rPr>
              <w:t>6</w:t>
            </w:r>
          </w:p>
        </w:tc>
        <w:tc>
          <w:tcPr>
            <w:tcW w:w="550" w:type="pct"/>
            <w:vAlign w:val="center"/>
          </w:tcPr>
          <w:p w14:paraId="58EB7FF5" w14:textId="04348928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5D98CD8B" w14:textId="4AC870A8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550" w:type="pct"/>
            <w:vAlign w:val="center"/>
          </w:tcPr>
          <w:p w14:paraId="4A122AC8" w14:textId="0FC1491D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1" w:type="pct"/>
            <w:vAlign w:val="center"/>
          </w:tcPr>
          <w:p w14:paraId="360019F7" w14:textId="39AF28E9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3CF0F45E" w14:textId="5CFE5AB7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3CF75DC1" w14:textId="4D1F0FBD" w:rsidR="00837E6A" w:rsidRPr="00837E6A" w:rsidRDefault="00837E6A" w:rsidP="00C17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30,1</w:t>
            </w:r>
          </w:p>
        </w:tc>
      </w:tr>
      <w:tr w:rsidR="00837E6A" w:rsidRPr="00613219" w14:paraId="104B3A32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02836410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05A276F5" w14:textId="2D9153C9" w:rsidR="00837E6A" w:rsidRPr="0047113E" w:rsidRDefault="00837E6A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550" w:type="pct"/>
            <w:vAlign w:val="center"/>
          </w:tcPr>
          <w:p w14:paraId="44BA50E0" w14:textId="7E45D10D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550" w:type="pct"/>
            <w:vAlign w:val="center"/>
          </w:tcPr>
          <w:p w14:paraId="3ABD70DD" w14:textId="2DA43926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109FB47E" w14:textId="58BE8755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551" w:type="pct"/>
            <w:vAlign w:val="center"/>
          </w:tcPr>
          <w:p w14:paraId="59DBEFF5" w14:textId="0623C855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2" w:type="pct"/>
            <w:vAlign w:val="center"/>
          </w:tcPr>
          <w:p w14:paraId="65916DF5" w14:textId="6E7E80E5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48FC40B5" w14:textId="3BABA83B" w:rsidR="00837E6A" w:rsidRPr="00837E6A" w:rsidRDefault="00837E6A" w:rsidP="00C17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10,4</w:t>
            </w:r>
          </w:p>
        </w:tc>
      </w:tr>
      <w:tr w:rsidR="00837E6A" w:rsidRPr="00613219" w14:paraId="78D5BBD8" w14:textId="77777777" w:rsidTr="00837E6A">
        <w:trPr>
          <w:trHeight w:val="50"/>
          <w:jc w:val="center"/>
        </w:trPr>
        <w:tc>
          <w:tcPr>
            <w:tcW w:w="1041" w:type="pct"/>
            <w:vMerge/>
            <w:shd w:val="clear" w:color="auto" w:fill="92D050"/>
            <w:vAlign w:val="center"/>
          </w:tcPr>
          <w:p w14:paraId="176D5AD2" w14:textId="77777777" w:rsidR="00837E6A" w:rsidRPr="00613219" w:rsidRDefault="00837E6A" w:rsidP="00C17B01">
            <w:pPr>
              <w:jc w:val="both"/>
              <w:rPr>
                <w:b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14:paraId="5941F691" w14:textId="3B4804CF" w:rsidR="00837E6A" w:rsidRPr="0047113E" w:rsidRDefault="00837E6A" w:rsidP="00C17B01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550" w:type="pct"/>
            <w:vAlign w:val="center"/>
          </w:tcPr>
          <w:p w14:paraId="529CEF11" w14:textId="1C926941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698C4992" w14:textId="43BF4A4E" w:rsidR="00837E6A" w:rsidRPr="00837E6A" w:rsidRDefault="00837E6A" w:rsidP="0047113E">
            <w:pPr>
              <w:jc w:val="center"/>
              <w:rPr>
                <w:sz w:val="24"/>
              </w:rPr>
            </w:pPr>
          </w:p>
        </w:tc>
        <w:tc>
          <w:tcPr>
            <w:tcW w:w="550" w:type="pct"/>
            <w:vAlign w:val="center"/>
          </w:tcPr>
          <w:p w14:paraId="45EF638B" w14:textId="205AB773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16,7</w:t>
            </w:r>
          </w:p>
        </w:tc>
        <w:tc>
          <w:tcPr>
            <w:tcW w:w="551" w:type="pct"/>
            <w:vAlign w:val="center"/>
          </w:tcPr>
          <w:p w14:paraId="0BCAAEDB" w14:textId="569756ED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12,2</w:t>
            </w:r>
          </w:p>
        </w:tc>
        <w:tc>
          <w:tcPr>
            <w:tcW w:w="552" w:type="pct"/>
            <w:vAlign w:val="center"/>
          </w:tcPr>
          <w:p w14:paraId="79A2B57D" w14:textId="24EB04C2" w:rsidR="00837E6A" w:rsidRPr="00837E6A" w:rsidRDefault="00837E6A" w:rsidP="004711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30B7008" w14:textId="4361A411" w:rsidR="00837E6A" w:rsidRPr="00837E6A" w:rsidRDefault="00837E6A" w:rsidP="00C17B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37E6A">
              <w:rPr>
                <w:b/>
                <w:color w:val="000000"/>
                <w:sz w:val="24"/>
                <w:szCs w:val="24"/>
              </w:rPr>
              <w:t>29,4</w:t>
            </w:r>
          </w:p>
        </w:tc>
      </w:tr>
      <w:tr w:rsidR="0047113E" w:rsidRPr="00613219" w14:paraId="7A651F98" w14:textId="77777777" w:rsidTr="00837E6A">
        <w:trPr>
          <w:trHeight w:val="50"/>
          <w:jc w:val="center"/>
        </w:trPr>
        <w:tc>
          <w:tcPr>
            <w:tcW w:w="1206" w:type="pct"/>
            <w:gridSpan w:val="2"/>
            <w:shd w:val="clear" w:color="auto" w:fill="00B050"/>
            <w:vAlign w:val="center"/>
          </w:tcPr>
          <w:p w14:paraId="031BF5E1" w14:textId="36D478B4" w:rsidR="0047113E" w:rsidRPr="00613219" w:rsidRDefault="0047113E" w:rsidP="007274B8">
            <w:pPr>
              <w:jc w:val="center"/>
            </w:pPr>
            <w:r w:rsidRPr="00613219">
              <w:rPr>
                <w:b/>
              </w:rPr>
              <w:t>Итого баллов за критерий/модуль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62B470B5" w14:textId="45B123F7" w:rsidR="0047113E" w:rsidRPr="00613219" w:rsidRDefault="00837E6A" w:rsidP="007274B8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F54C3E5" w14:textId="5D71377A" w:rsidR="0047113E" w:rsidRPr="00613219" w:rsidRDefault="00837E6A" w:rsidP="007274B8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14:paraId="31EC0780" w14:textId="526E52A2" w:rsidR="0047113E" w:rsidRPr="00613219" w:rsidRDefault="00837E6A" w:rsidP="007274B8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551" w:type="pct"/>
            <w:shd w:val="clear" w:color="auto" w:fill="F2F2F2" w:themeFill="background1" w:themeFillShade="F2"/>
            <w:vAlign w:val="center"/>
          </w:tcPr>
          <w:p w14:paraId="46E89523" w14:textId="0A2EDFE2" w:rsidR="0047113E" w:rsidRPr="00613219" w:rsidRDefault="00837E6A" w:rsidP="007274B8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63AE3F2C" w14:textId="2C7CB91C" w:rsidR="0047113E" w:rsidRPr="00613219" w:rsidRDefault="00837E6A" w:rsidP="007274B8"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041" w:type="pct"/>
            <w:shd w:val="clear" w:color="auto" w:fill="F2F2F2" w:themeFill="background1" w:themeFillShade="F2"/>
            <w:vAlign w:val="center"/>
          </w:tcPr>
          <w:p w14:paraId="5498864D" w14:textId="24D21EF8" w:rsidR="0047113E" w:rsidRPr="00613219" w:rsidRDefault="0047113E" w:rsidP="007274B8">
            <w:pPr>
              <w:jc w:val="center"/>
              <w:rPr>
                <w:b/>
              </w:rPr>
            </w:pPr>
            <w:r w:rsidRPr="00BA50BC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Pr="0047113E" w:rsidRDefault="008E5424" w:rsidP="004711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6051561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7113E" w:rsidRPr="009D04EE" w14:paraId="6A6AEFD2" w14:textId="77777777" w:rsidTr="00ED52D9">
        <w:tc>
          <w:tcPr>
            <w:tcW w:w="282" w:type="pct"/>
            <w:shd w:val="clear" w:color="auto" w:fill="00B050"/>
          </w:tcPr>
          <w:p w14:paraId="0B141BE8" w14:textId="10E95ECF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D7F47A9" w14:textId="06B160BF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Текущий учет и группировка данных</w:t>
            </w:r>
          </w:p>
        </w:tc>
        <w:tc>
          <w:tcPr>
            <w:tcW w:w="3149" w:type="pct"/>
            <w:shd w:val="clear" w:color="auto" w:fill="auto"/>
          </w:tcPr>
          <w:p w14:paraId="5DD931D0" w14:textId="77777777" w:rsidR="0047113E" w:rsidRPr="00BA50BC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владение навыками заполнения первичных документов, организации их группировки </w:t>
            </w:r>
            <w:r>
              <w:rPr>
                <w:sz w:val="24"/>
                <w:szCs w:val="24"/>
              </w:rPr>
              <w:t xml:space="preserve">для </w:t>
            </w:r>
            <w:r w:rsidRPr="00BA50BC">
              <w:rPr>
                <w:sz w:val="24"/>
                <w:szCs w:val="24"/>
              </w:rPr>
              <w:t>хранения, формирования учетных регистров, их соответствие данным первичных  документов.</w:t>
            </w:r>
          </w:p>
          <w:p w14:paraId="360B4BE2" w14:textId="7058DBC4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организация ведения синтетического и  аналитического учета, формирование бухгалтерских записей на счетах, владение навыками проведения расчетов</w:t>
            </w:r>
            <w:r>
              <w:rPr>
                <w:sz w:val="24"/>
                <w:szCs w:val="24"/>
              </w:rPr>
              <w:t>,</w:t>
            </w:r>
            <w:r w:rsidRPr="00BA50BC">
              <w:rPr>
                <w:sz w:val="24"/>
                <w:szCs w:val="24"/>
              </w:rPr>
              <w:t xml:space="preserve"> формирования стоимости активов. </w:t>
            </w:r>
          </w:p>
        </w:tc>
      </w:tr>
      <w:tr w:rsidR="0047113E" w:rsidRPr="009D04EE" w14:paraId="1A96BA02" w14:textId="77777777" w:rsidTr="00ED52D9">
        <w:tc>
          <w:tcPr>
            <w:tcW w:w="282" w:type="pct"/>
            <w:shd w:val="clear" w:color="auto" w:fill="00B050"/>
          </w:tcPr>
          <w:p w14:paraId="237F3983" w14:textId="6CB34203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62CE117B" w14:textId="75227F26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 xml:space="preserve">Ведение налогового учета </w:t>
            </w:r>
          </w:p>
        </w:tc>
        <w:tc>
          <w:tcPr>
            <w:tcW w:w="3149" w:type="pct"/>
            <w:shd w:val="clear" w:color="auto" w:fill="auto"/>
          </w:tcPr>
          <w:p w14:paraId="4774D8D4" w14:textId="77777777" w:rsidR="0047113E" w:rsidRPr="00BA50BC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>Оценивается умение проведения расчетов по налогам</w:t>
            </w:r>
            <w:r>
              <w:rPr>
                <w:sz w:val="24"/>
                <w:szCs w:val="24"/>
              </w:rPr>
              <w:t xml:space="preserve">, </w:t>
            </w:r>
            <w:r w:rsidRPr="00BA50BC">
              <w:rPr>
                <w:sz w:val="24"/>
                <w:szCs w:val="24"/>
              </w:rPr>
              <w:t>взнос</w:t>
            </w:r>
            <w:r>
              <w:rPr>
                <w:sz w:val="24"/>
                <w:szCs w:val="24"/>
              </w:rPr>
              <w:t>ам</w:t>
            </w:r>
            <w:r w:rsidRPr="00BA50BC">
              <w:rPr>
                <w:sz w:val="24"/>
                <w:szCs w:val="24"/>
              </w:rPr>
              <w:t xml:space="preserve"> и сборам, формирования налоговых регистров, оформлени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оплаты</w:t>
            </w:r>
            <w:r w:rsidRPr="00BA50BC">
              <w:rPr>
                <w:sz w:val="24"/>
                <w:szCs w:val="24"/>
              </w:rPr>
              <w:t xml:space="preserve"> налогов и взносов в бюджет.</w:t>
            </w:r>
          </w:p>
          <w:p w14:paraId="03F2F467" w14:textId="68AF18F3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составления налоговой отчетности, </w:t>
            </w:r>
            <w:r w:rsidRPr="00BA50BC">
              <w:rPr>
                <w:sz w:val="24"/>
                <w:szCs w:val="24"/>
              </w:rPr>
              <w:lastRenderedPageBreak/>
              <w:t>соблюдени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сроков ее представления.</w:t>
            </w:r>
          </w:p>
        </w:tc>
      </w:tr>
      <w:tr w:rsidR="0047113E" w:rsidRPr="009D04EE" w14:paraId="64F34F19" w14:textId="77777777" w:rsidTr="00ED52D9">
        <w:tc>
          <w:tcPr>
            <w:tcW w:w="282" w:type="pct"/>
            <w:shd w:val="clear" w:color="auto" w:fill="00B050"/>
          </w:tcPr>
          <w:p w14:paraId="236AA71C" w14:textId="38357012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D99A27B" w14:textId="2F45C2C3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Составление бухгалтерской (финансовой)  отчетности и ее анализ</w:t>
            </w:r>
          </w:p>
        </w:tc>
        <w:tc>
          <w:tcPr>
            <w:tcW w:w="3149" w:type="pct"/>
            <w:shd w:val="clear" w:color="auto" w:fill="auto"/>
          </w:tcPr>
          <w:p w14:paraId="224D8B8F" w14:textId="77777777" w:rsidR="0047113E" w:rsidRPr="00BA50BC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навык</w:t>
            </w:r>
            <w:r w:rsidRPr="00BA50BC">
              <w:rPr>
                <w:sz w:val="24"/>
                <w:szCs w:val="24"/>
              </w:rPr>
              <w:t xml:space="preserve"> заполнения форм бухгалтерской (финансовой) отчетности, формировани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ее показателей.</w:t>
            </w:r>
          </w:p>
          <w:p w14:paraId="52821F30" w14:textId="13EFA2D3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умение </w:t>
            </w:r>
            <w:r w:rsidRPr="00BA50BC">
              <w:rPr>
                <w:sz w:val="24"/>
                <w:szCs w:val="24"/>
              </w:rPr>
              <w:t xml:space="preserve">проведения анализа </w:t>
            </w:r>
            <w:r>
              <w:rPr>
                <w:sz w:val="24"/>
                <w:szCs w:val="24"/>
              </w:rPr>
              <w:t xml:space="preserve">финансовой отчетности и </w:t>
            </w:r>
            <w:r w:rsidRPr="00BA50BC">
              <w:rPr>
                <w:sz w:val="24"/>
                <w:szCs w:val="24"/>
              </w:rPr>
              <w:t xml:space="preserve">показателей финансового состояния компании, вероятность </w:t>
            </w:r>
            <w:r>
              <w:rPr>
                <w:sz w:val="24"/>
                <w:szCs w:val="24"/>
              </w:rPr>
              <w:t xml:space="preserve">ее </w:t>
            </w:r>
            <w:r w:rsidRPr="00BA50BC">
              <w:rPr>
                <w:sz w:val="24"/>
                <w:szCs w:val="24"/>
              </w:rPr>
              <w:t>банкротства, качество сформированных выводов по проведенному анализу, а также отчета по проведенному анализу.</w:t>
            </w:r>
          </w:p>
        </w:tc>
      </w:tr>
      <w:tr w:rsidR="0047113E" w:rsidRPr="009D04EE" w14:paraId="21213197" w14:textId="77777777" w:rsidTr="00ED52D9">
        <w:tc>
          <w:tcPr>
            <w:tcW w:w="282" w:type="pct"/>
            <w:shd w:val="clear" w:color="auto" w:fill="00B050"/>
          </w:tcPr>
          <w:p w14:paraId="7AFABB4B" w14:textId="7ADD4EE3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FF01597" w14:textId="018A37F6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Бюджетирование и управление денежными потоками</w:t>
            </w:r>
          </w:p>
        </w:tc>
        <w:tc>
          <w:tcPr>
            <w:tcW w:w="3149" w:type="pct"/>
            <w:shd w:val="clear" w:color="auto" w:fill="auto"/>
          </w:tcPr>
          <w:p w14:paraId="387950E5" w14:textId="2E918C4B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владение навыками формирования показателей </w:t>
            </w:r>
            <w:r>
              <w:rPr>
                <w:sz w:val="24"/>
                <w:szCs w:val="24"/>
              </w:rPr>
              <w:t>системы</w:t>
            </w:r>
            <w:r w:rsidRPr="00BA50BC">
              <w:rPr>
                <w:sz w:val="24"/>
                <w:szCs w:val="24"/>
              </w:rPr>
              <w:t xml:space="preserve"> бюджетов организации, управлени</w:t>
            </w:r>
            <w:r>
              <w:rPr>
                <w:sz w:val="24"/>
                <w:szCs w:val="24"/>
              </w:rPr>
              <w:t>я</w:t>
            </w:r>
            <w:r w:rsidRPr="00BA50BC">
              <w:rPr>
                <w:sz w:val="24"/>
                <w:szCs w:val="24"/>
              </w:rPr>
              <w:t xml:space="preserve"> денежными потоками и </w:t>
            </w:r>
            <w:r>
              <w:rPr>
                <w:sz w:val="24"/>
                <w:szCs w:val="24"/>
              </w:rPr>
              <w:t>источниками финансирования</w:t>
            </w:r>
            <w:r w:rsidRPr="00BA50BC">
              <w:rPr>
                <w:sz w:val="24"/>
                <w:szCs w:val="24"/>
              </w:rPr>
              <w:t>.</w:t>
            </w:r>
          </w:p>
        </w:tc>
      </w:tr>
      <w:tr w:rsidR="0047113E" w:rsidRPr="009D04EE" w14:paraId="2D2A60D4" w14:textId="77777777" w:rsidTr="00ED52D9">
        <w:tc>
          <w:tcPr>
            <w:tcW w:w="282" w:type="pct"/>
            <w:shd w:val="clear" w:color="auto" w:fill="00B050"/>
          </w:tcPr>
          <w:p w14:paraId="6D0BB7BC" w14:textId="581C23C9" w:rsidR="0047113E" w:rsidRPr="00473C4A" w:rsidRDefault="0047113E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5948D32" w14:textId="7E28584F" w:rsidR="0047113E" w:rsidRPr="004904C5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b/>
                <w:color w:val="000000"/>
                <w:sz w:val="24"/>
                <w:szCs w:val="24"/>
              </w:rPr>
              <w:t>Налоговое консультирование</w:t>
            </w:r>
          </w:p>
        </w:tc>
        <w:tc>
          <w:tcPr>
            <w:tcW w:w="3149" w:type="pct"/>
            <w:shd w:val="clear" w:color="auto" w:fill="auto"/>
          </w:tcPr>
          <w:p w14:paraId="6CD0D42E" w14:textId="77777777" w:rsidR="0047113E" w:rsidRDefault="0047113E" w:rsidP="00ED52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умение</w:t>
            </w:r>
            <w:r w:rsidRPr="00BA50BC">
              <w:rPr>
                <w:sz w:val="24"/>
                <w:szCs w:val="24"/>
              </w:rPr>
              <w:t xml:space="preserve"> расчета налоговой нагрузки, эффективност</w:t>
            </w:r>
            <w:r>
              <w:rPr>
                <w:sz w:val="24"/>
                <w:szCs w:val="24"/>
              </w:rPr>
              <w:t>и</w:t>
            </w:r>
            <w:r w:rsidRPr="00BA50BC">
              <w:rPr>
                <w:sz w:val="24"/>
                <w:szCs w:val="24"/>
              </w:rPr>
              <w:t xml:space="preserve"> предложений по оптимизации налогового бремени организации.</w:t>
            </w:r>
          </w:p>
          <w:p w14:paraId="5EF9B890" w14:textId="2268EC83" w:rsidR="0047113E" w:rsidRPr="009D04EE" w:rsidRDefault="0047113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50BC">
              <w:rPr>
                <w:sz w:val="24"/>
                <w:szCs w:val="24"/>
              </w:rPr>
              <w:t xml:space="preserve">Оценивается обоснованность оценки налогового нарушения, последствий за его совершение, </w:t>
            </w:r>
            <w:r>
              <w:rPr>
                <w:sz w:val="24"/>
                <w:szCs w:val="24"/>
              </w:rPr>
              <w:t xml:space="preserve">содержание и оформление </w:t>
            </w:r>
            <w:r w:rsidRPr="00BA50BC">
              <w:rPr>
                <w:sz w:val="24"/>
                <w:szCs w:val="24"/>
              </w:rPr>
              <w:t>сформированного отчета по предложенной налоговой ситуации.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6051562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75B16250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14027">
        <w:rPr>
          <w:rFonts w:ascii="Times New Roman" w:eastAsia="Calibri" w:hAnsi="Times New Roman" w:cs="Times New Roman"/>
          <w:sz w:val="28"/>
          <w:szCs w:val="28"/>
        </w:rPr>
        <w:t>1</w:t>
      </w:r>
      <w:r w:rsidR="00ED52D9">
        <w:rPr>
          <w:rFonts w:ascii="Times New Roman" w:eastAsia="Calibri" w:hAnsi="Times New Roman" w:cs="Times New Roman"/>
          <w:sz w:val="28"/>
          <w:szCs w:val="28"/>
        </w:rPr>
        <w:t>5</w:t>
      </w:r>
      <w:r w:rsidR="004711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14:paraId="04FBA5D7" w14:textId="62C43B8D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47113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6051563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6857005A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471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- </w:t>
      </w:r>
      <w:r w:rsidR="0047113E" w:rsidRPr="00BA50BC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модуля, и вариативную часть – 2 модуля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B1111D9" w14:textId="3580FAD3" w:rsidR="008C41F7" w:rsidRP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(инвариант) выполняется всеми регионами без исключения на всех уровнях чемпионатов.</w:t>
      </w:r>
    </w:p>
    <w:p w14:paraId="75B40417" w14:textId="3A1327E8" w:rsidR="008C41F7" w:rsidRPr="00ED52D9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</w:t>
      </w:r>
      <w:proofErr w:type="gramStart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B1C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63384A6" w14:textId="199AA032" w:rsidR="001E2A98" w:rsidRPr="001E2A98" w:rsidRDefault="001E2A98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конкурсного задания по компетенции на компьютере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базе программы автоматизации учета (например, 1С</w:t>
      </w:r>
      <w:proofErr w:type="gramStart"/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ухгалтерия </w:t>
      </w:r>
      <w:r w:rsidR="005A0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2A98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должны быть внесены основные сведения об организации и остатки по счетам на дату начала ведения учета.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605156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29B79F6C" w14:textId="437A56BB" w:rsidR="00730AE0" w:rsidRPr="00D96994" w:rsidRDefault="00730AE0" w:rsidP="00730A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14027"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Текущий учет и группировка данных</w:t>
      </w:r>
      <w:r w:rsidR="00414027"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FAC288F" w14:textId="4E0B0700" w:rsidR="00414027" w:rsidRPr="00414027" w:rsidRDefault="00414027" w:rsidP="0041402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1A9CD70F" w14:textId="77777777" w:rsidR="00414027" w:rsidRPr="00414027" w:rsidRDefault="00414027" w:rsidP="00414027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DF31D83" w14:textId="77777777" w:rsidR="00414027" w:rsidRPr="00414027" w:rsidRDefault="00414027" w:rsidP="000D47C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>В рамках модуля Конкурсанту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предложен профессиональный кейс, содержащий первичную и сводную информацию для ведения текущего учета. </w:t>
      </w:r>
    </w:p>
    <w:p w14:paraId="709C39F8" w14:textId="3B8A476B" w:rsidR="000D47C5" w:rsidRPr="000D47C5" w:rsidRDefault="000D47C5" w:rsidP="000D47C5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3468D927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бухгалтерского учета с учетом особенностей ее деятельности;</w:t>
      </w:r>
    </w:p>
    <w:p w14:paraId="355F82F6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первичные учетные документы по фактам хозяйственной жизни, произвести проверку и принять к учету входящие документы;</w:t>
      </w:r>
    </w:p>
    <w:p w14:paraId="2C2FF062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исправить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 наличии ошибки в первичных бухгалтерских документах, сформировать документ по результатам проверки;</w:t>
      </w:r>
    </w:p>
    <w:p w14:paraId="4625B159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номенклатуру учетных документов, сгруппировать по ней оформленные и принятые документы.</w:t>
      </w:r>
    </w:p>
    <w:p w14:paraId="2F1183B1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произвести начисления и выплаты персоналу по оплате труда;</w:t>
      </w:r>
    </w:p>
    <w:p w14:paraId="4DF5E768" w14:textId="1C21CD87" w:rsidR="000D47C5" w:rsidRPr="000D47C5" w:rsidRDefault="00C226B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произвести оплату текущей задолженности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с учетом сроков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ее погашения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DBB4CE8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отразить в учете факты хозяйственной жизни по движению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внеоборотных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активов; денежных средств; затрат; расчетов с персоналом и контрагентами; заемных средств; финансовых вложений; учету доходов и расходов организации.</w:t>
      </w:r>
    </w:p>
    <w:p w14:paraId="45824F1A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сформировать стоимость активов;</w:t>
      </w:r>
    </w:p>
    <w:p w14:paraId="332164CC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расчет себестоимости оказанных услуг;</w:t>
      </w:r>
    </w:p>
    <w:p w14:paraId="2324C379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определить финансовый результат деятельности организации;</w:t>
      </w:r>
    </w:p>
    <w:p w14:paraId="546BB8DF" w14:textId="77777777" w:rsidR="000D47C5" w:rsidRPr="000D47C5" w:rsidRDefault="000D47C5" w:rsidP="000D47C5">
      <w:pPr>
        <w:numPr>
          <w:ilvl w:val="0"/>
          <w:numId w:val="30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оборотно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-сальдовую ведомость в разрезе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субсчетов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за отчетный период в задании.</w:t>
      </w:r>
    </w:p>
    <w:p w14:paraId="70268CE0" w14:textId="153CFBC0" w:rsidR="000D47C5" w:rsidRPr="000D47C5" w:rsidRDefault="000D47C5" w:rsidP="000D47C5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(1С:</w:t>
      </w:r>
      <w:proofErr w:type="gram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14:paraId="11F7536E" w14:textId="77777777" w:rsidR="000D47C5" w:rsidRPr="000D47C5" w:rsidRDefault="000D47C5" w:rsidP="000D47C5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 Если для регистрации факта хозяйственной жизни не указана его сумма, то она должна быть получена расчетным путем</w:t>
      </w:r>
    </w:p>
    <w:p w14:paraId="6C733DF9" w14:textId="77777777" w:rsidR="000D47C5" w:rsidRPr="000D47C5" w:rsidRDefault="000D47C5" w:rsidP="000D47C5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виде):</w:t>
      </w:r>
    </w:p>
    <w:p w14:paraId="1C1D7C82" w14:textId="77777777" w:rsidR="000D47C5" w:rsidRPr="000D47C5" w:rsidRDefault="000D47C5" w:rsidP="000D47C5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организации для целей бухгалтерского учета, включая необходимые приложения;</w:t>
      </w:r>
    </w:p>
    <w:p w14:paraId="323E553A" w14:textId="77777777" w:rsidR="000D47C5" w:rsidRPr="000D47C5" w:rsidRDefault="000D47C5" w:rsidP="000D47C5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первичные и сводные учетные документы организации, включая все необходимые пояснения и расчеты, сгруппированные для их последующего хранения;</w:t>
      </w:r>
    </w:p>
    <w:p w14:paraId="1C586F49" w14:textId="77777777" w:rsidR="000D47C5" w:rsidRPr="000D47C5" w:rsidRDefault="000D47C5" w:rsidP="000D47C5">
      <w:pPr>
        <w:numPr>
          <w:ilvl w:val="0"/>
          <w:numId w:val="27"/>
        </w:numPr>
        <w:tabs>
          <w:tab w:val="left" w:pos="567"/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учетные регистры за период, указанный в задании (ОСВ с учетом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</w:rPr>
        <w:t>субсчетов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EE5386C" w14:textId="77777777" w:rsidR="00414027" w:rsidRDefault="00414027" w:rsidP="0041402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C8A890" w14:textId="77777777" w:rsidR="005A0319" w:rsidRPr="00414027" w:rsidRDefault="005A0319" w:rsidP="0041402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B2833D" w14:textId="77777777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Ведение налогового учета (инвариант)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D61ACAD" w14:textId="7B34BA06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3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072A49CF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C5E3F52" w14:textId="77777777" w:rsidR="00414027" w:rsidRPr="00414027" w:rsidRDefault="00414027" w:rsidP="000D47C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модуля </w:t>
      </w:r>
      <w:r w:rsidRPr="00414027">
        <w:rPr>
          <w:rFonts w:ascii="Times New Roman" w:eastAsia="Calibri" w:hAnsi="Times New Roman" w:cs="Times New Roman"/>
          <w:sz w:val="28"/>
          <w:szCs w:val="28"/>
        </w:rPr>
        <w:t xml:space="preserve">Конкурсанту 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 профессиональный кейс, содержащий информацию о регистрационных данных организации, данные о персонале, первичная и сводная информация для расчета налоговых и других обязательных платежей. </w:t>
      </w:r>
    </w:p>
    <w:p w14:paraId="7E99FD73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необходимо, применяя программу автоматизации учета и офисные программы:</w:t>
      </w:r>
    </w:p>
    <w:p w14:paraId="749D2799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разработать учетную политику организации для целей налогового учета с учетом особенностей ее деятельности;</w:t>
      </w:r>
    </w:p>
    <w:p w14:paraId="4C051E7A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оформить и сгруппировать первичные документы, сформировать и сгруппировать регистры налогового учета: </w:t>
      </w:r>
    </w:p>
    <w:p w14:paraId="7B6F1EEF" w14:textId="77777777" w:rsidR="000D47C5" w:rsidRPr="000D47C5" w:rsidRDefault="000D47C5" w:rsidP="000D47C5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счета-фактуры, УПД,</w:t>
      </w:r>
    </w:p>
    <w:p w14:paraId="7102B740" w14:textId="77777777" w:rsidR="000D47C5" w:rsidRPr="000D47C5" w:rsidRDefault="000D47C5" w:rsidP="000D47C5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книгу продаж и книгу  покупок, </w:t>
      </w:r>
    </w:p>
    <w:p w14:paraId="103CF8FB" w14:textId="77777777" w:rsidR="000D47C5" w:rsidRPr="000D47C5" w:rsidRDefault="000D47C5" w:rsidP="000D47C5">
      <w:pPr>
        <w:widowControl w:val="0"/>
        <w:numPr>
          <w:ilvl w:val="0"/>
          <w:numId w:val="2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по налогу на прибыль;</w:t>
      </w:r>
    </w:p>
    <w:p w14:paraId="0E2869DD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рассчитать налогооблагаемую базу, сумму налогов и сборов, страховые взносы за налоговый период задания, используя регистры налогового учета*:</w:t>
      </w:r>
    </w:p>
    <w:p w14:paraId="3F71EAFF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а) рассчитать НДС,  </w:t>
      </w:r>
    </w:p>
    <w:p w14:paraId="10511CD2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б) рассчитать НДФЛ,</w:t>
      </w:r>
    </w:p>
    <w:p w14:paraId="12CB5226" w14:textId="1C95738E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в) рассчитать налог на прибыль, </w:t>
      </w:r>
    </w:p>
    <w:p w14:paraId="1D1B3594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г) рассчитать страховые взносы;</w:t>
      </w:r>
    </w:p>
    <w:p w14:paraId="37E323F7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уведомления об исчисленных суммах налогов, авансовых платежей по налогам, страховых взносов;</w:t>
      </w:r>
    </w:p>
    <w:p w14:paraId="1FE79339" w14:textId="77777777" w:rsid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оформить оплату начисленных налогов и сборов в бюджет;</w:t>
      </w:r>
    </w:p>
    <w:p w14:paraId="3B02F2C3" w14:textId="44E819AA" w:rsidR="006F7478" w:rsidRPr="000D47C5" w:rsidRDefault="006F7478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произвести расчеты по единому налоговому счету;</w:t>
      </w:r>
    </w:p>
    <w:p w14:paraId="1207B90B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составить налоговую отчетность, расчеты и отчеты по страховым взносам за возможный налоговый период в задании:</w:t>
      </w:r>
    </w:p>
    <w:p w14:paraId="4D528B79" w14:textId="451CB4E7" w:rsidR="000D47C5" w:rsidRPr="000D47C5" w:rsidRDefault="005A0319" w:rsidP="000D47C5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319">
        <w:rPr>
          <w:rFonts w:ascii="Times New Roman" w:eastAsia="Calibri" w:hAnsi="Times New Roman" w:cs="Times New Roman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="000D47C5" w:rsidRPr="000D47C5">
        <w:rPr>
          <w:rFonts w:ascii="Times New Roman" w:eastAsia="Calibri" w:hAnsi="Times New Roman" w:cs="Times New Roman"/>
          <w:sz w:val="28"/>
          <w:szCs w:val="28"/>
        </w:rPr>
        <w:t xml:space="preserve"> (Форма 6-НДФЛ),</w:t>
      </w:r>
    </w:p>
    <w:p w14:paraId="72BD8ECD" w14:textId="77777777" w:rsidR="000D47C5" w:rsidRPr="000D47C5" w:rsidRDefault="000D47C5" w:rsidP="000D47C5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lastRenderedPageBreak/>
        <w:t>Декларацию по налогу на прибыль,</w:t>
      </w:r>
    </w:p>
    <w:p w14:paraId="6D1C3340" w14:textId="77777777" w:rsidR="000D47C5" w:rsidRPr="000D47C5" w:rsidRDefault="000D47C5" w:rsidP="000D47C5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Декларацию по НДС,</w:t>
      </w:r>
    </w:p>
    <w:p w14:paraId="6DE703ED" w14:textId="77777777" w:rsidR="000D47C5" w:rsidRPr="000D47C5" w:rsidRDefault="000D47C5" w:rsidP="000D47C5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Расчет по страховым взносам,</w:t>
      </w:r>
    </w:p>
    <w:p w14:paraId="528E87AB" w14:textId="77777777" w:rsidR="000D47C5" w:rsidRPr="000D47C5" w:rsidRDefault="000D47C5" w:rsidP="000D47C5">
      <w:pPr>
        <w:widowControl w:val="0"/>
        <w:numPr>
          <w:ilvl w:val="0"/>
          <w:numId w:val="2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Единую персонифицированную отчетность.</w:t>
      </w:r>
    </w:p>
    <w:p w14:paraId="40F78C9A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* Расчет налогов и сборов, их оплату производить на основании данных заданий модулей</w:t>
      </w: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0D47C5">
        <w:rPr>
          <w:rFonts w:ascii="Times New Roman" w:eastAsia="Calibri" w:hAnsi="Times New Roman" w:cs="Times New Roman"/>
          <w:sz w:val="28"/>
          <w:szCs w:val="28"/>
        </w:rPr>
        <w:t>, Б.</w:t>
      </w:r>
    </w:p>
    <w:p w14:paraId="06EDC0E0" w14:textId="1A017716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специализированной программы автоматизации бухгалтерского учета (например, 1С:</w:t>
      </w:r>
      <w:proofErr w:type="gramEnd"/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 Бухгалтерия </w:t>
      </w:r>
      <w:r w:rsidR="005A0319">
        <w:rPr>
          <w:rFonts w:ascii="Times New Roman" w:eastAsia="Calibri" w:hAnsi="Times New Roman" w:cs="Times New Roman"/>
          <w:sz w:val="28"/>
          <w:szCs w:val="28"/>
        </w:rPr>
        <w:t>8</w:t>
      </w:r>
      <w:r w:rsidRPr="000D47C5">
        <w:rPr>
          <w:rFonts w:ascii="Times New Roman" w:eastAsia="Calibri" w:hAnsi="Times New Roman" w:cs="Times New Roman"/>
          <w:sz w:val="28"/>
          <w:szCs w:val="28"/>
        </w:rPr>
        <w:t>), программного обеспечения для офисной работы, справочно-правовых систем.</w:t>
      </w:r>
    </w:p>
    <w:p w14:paraId="6A0CF929" w14:textId="77777777" w:rsidR="000D47C5" w:rsidRPr="000D47C5" w:rsidRDefault="000D47C5" w:rsidP="000D47C5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Если какие-то исходные данные в задании не определены и их ввод необходим с точки зрения учетной работы, допускается ввод произвольных значений.  Если для регистрации факта хозяйственной жизни не указана его сумма, то она должна быть получена расчетным путем</w:t>
      </w:r>
    </w:p>
    <w:p w14:paraId="645FC718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По итогам выполнения задания Конкурсанту необходимо сформировать и распечатать (сохранить в электронном виде):</w:t>
      </w:r>
    </w:p>
    <w:p w14:paraId="4965C43A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учетную политику для целей налогового учета;</w:t>
      </w:r>
    </w:p>
    <w:p w14:paraId="6025BD1C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сгруппированные документы на начисление и оплату налогов, страховых взносов;</w:t>
      </w:r>
    </w:p>
    <w:p w14:paraId="22D4C56C" w14:textId="3BA52C98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регистры налогового учета по налогу на прибыль, НДС;</w:t>
      </w:r>
    </w:p>
    <w:p w14:paraId="57A68970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налоговые декларации, расчеты и единую персонифицированную отчетность (допустимо отчеты, сдаваемые в электронном варианте, сохранить в формате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8"/>
          <w:lang w:val="en-US"/>
        </w:rPr>
        <w:t>xls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8"/>
        </w:rPr>
        <w:t>.).</w:t>
      </w:r>
    </w:p>
    <w:p w14:paraId="1EFA875E" w14:textId="77777777" w:rsidR="000D47C5" w:rsidRPr="00414027" w:rsidRDefault="000D47C5" w:rsidP="00414027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A54D3B9" w14:textId="77777777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Составление бухгалтерской (финансовой) отчетности и ее анализ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 </w:t>
      </w:r>
    </w:p>
    <w:p w14:paraId="534B480F" w14:textId="6EC5A96D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ED52D9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</w:t>
      </w:r>
      <w:r w:rsidR="00ED52D9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0A1837DA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5E2355D9" w14:textId="77777777" w:rsidR="00414027" w:rsidRPr="00414027" w:rsidRDefault="00414027" w:rsidP="000D47C5">
      <w:pPr>
        <w:tabs>
          <w:tab w:val="left" w:pos="567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 xml:space="preserve">В рамках модуля Конкурсанту предложен профессиональный кейс, содержащий информацию, необходимую для формирования финансовой отчетности коммерческой организации и проведения финансового анализа. </w:t>
      </w:r>
    </w:p>
    <w:p w14:paraId="5C3ACC85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56C4FBD5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бухгалтерскую (финансовую) отчетность за отчетный год в составе Бухгалтерского баланса, Отчета о финансовых результатах, Отчета о движении денежных средств. Учесть существенность информации, раскрываемой в бухгалтерской (финансовой) отчетности;</w:t>
      </w:r>
    </w:p>
    <w:p w14:paraId="5DFDFB56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пояснительную записку к бухгалтерской (финансовой) отчетности с обоснованием показателей по статьям форм отчетов;</w:t>
      </w:r>
    </w:p>
    <w:p w14:paraId="739FEDBA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финансовой отчетности за отчетный год:</w:t>
      </w:r>
    </w:p>
    <w:p w14:paraId="596FF074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бухгалтерского баланса (рассчитать структуру бухгалтерского баланса, определить абсолютное и относительное изменение показателей баланса, структурные сдвиги);</w:t>
      </w:r>
    </w:p>
    <w:p w14:paraId="366883F5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отчета о финансовых результатах (определить абсолютное и относительное изменение показателей отчета, рассчитать структуру доходов и расходов, в соответствии с порядком формирования отчета о финансовых результатах определить влияние показателей на чистую прибыль (убыток) отчетного периода);</w:t>
      </w:r>
    </w:p>
    <w:p w14:paraId="629B2478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бухгалтерского баланса (произвести группировку активов по степени ликвидности, пассивов по степени срочности погашения обязательств, рассчитать платежный излишек или недостаток по каждой группе, определить текущую и перспективную ликвидность, соблюдение минимального условия финансовой устойчивости);</w:t>
      </w:r>
    </w:p>
    <w:p w14:paraId="74D300F5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анализ ликвидности организации и динамику показателей (коэффициент абсолютной ликвидности, коэффициент критической ликвидности, коэффициент текущей ликвидности);</w:t>
      </w:r>
    </w:p>
    <w:p w14:paraId="5DD8B063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платежеспособности организации и динамику показателей (коэффициент общей платежеспособности, коэффициент маневренности функционирующего капитала, коэффициент обеспеченности собственными </w:t>
      </w: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оборотными средствами, коэффициент восстановления или утраты платежеспособности);</w:t>
      </w:r>
    </w:p>
    <w:p w14:paraId="5CF3A9B1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финансовой устойчивости и динамику показателей (коэффициент финансовой независимости, коэффициент финансовой зависимости,  чистые активы, коэффициент соотношения заемных и собственных средств, коэффициент обеспеченности оборотных активов собственными оборотными средствами);  </w:t>
      </w:r>
    </w:p>
    <w:p w14:paraId="0AC1E271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анализ рентабельности и динамику показателей (рентабельность продаж, окупаемость затрат, рентабельность активов, рентабельность </w:t>
      </w:r>
      <w:proofErr w:type="spellStart"/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внеоборотного</w:t>
      </w:r>
      <w:proofErr w:type="spellEnd"/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капитала, рентабельность оборотного капитала, рентабельность основной деятельности, рентабельность операционной деятельности, рентабельность собственного капитала, рентабельность заемного капитала);</w:t>
      </w:r>
    </w:p>
    <w:p w14:paraId="4B18B52F" w14:textId="77777777" w:rsidR="000D47C5" w:rsidRPr="000D47C5" w:rsidRDefault="000D47C5" w:rsidP="000D47C5">
      <w:pPr>
        <w:widowControl w:val="0"/>
        <w:numPr>
          <w:ilvl w:val="0"/>
          <w:numId w:val="34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провести анализ вероятности банкротства с обоснованием выбора оптимальной модели расчета;</w:t>
      </w:r>
    </w:p>
    <w:p w14:paraId="0DEBA564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определить мероприятия для улучшения финансового положения и эффективности деятельности организации и обосновать предложения расчетами;</w:t>
      </w:r>
    </w:p>
    <w:p w14:paraId="2434B496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сформировать аналитический отчет в виде презентации руководству организации по результатам произведенных расчетов.</w:t>
      </w:r>
    </w:p>
    <w:p w14:paraId="562E17C0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029C924C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 сформировать и распечатать (сохранить в электронном виде):</w:t>
      </w:r>
    </w:p>
    <w:p w14:paraId="4BA51B04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финансовую отчетность организации в составе Бухгалтерского баланса, Отчета о финансовых результатах, Отчета о движении денежных средств;</w:t>
      </w:r>
    </w:p>
    <w:p w14:paraId="180A4525" w14:textId="2269B107" w:rsidR="000D47C5" w:rsidRPr="000D47C5" w:rsidRDefault="005142D2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7F46">
        <w:rPr>
          <w:rFonts w:ascii="Times New Roman" w:eastAsia="Calibri" w:hAnsi="Times New Roman" w:cs="Times New Roman"/>
          <w:sz w:val="28"/>
          <w:szCs w:val="24"/>
          <w:lang w:eastAsia="ru-RU"/>
        </w:rPr>
        <w:t>пояснительную записку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 бухгалтерской (финансовой) отчетности</w:t>
      </w:r>
      <w:bookmarkStart w:id="12" w:name="_GoBack"/>
      <w:bookmarkEnd w:id="12"/>
      <w:r w:rsidR="000D47C5"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;</w:t>
      </w:r>
    </w:p>
    <w:p w14:paraId="5D0B5B01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расчеты по проведенному анализу финансовой отчетности (аналитические таблицы) с выводами по его результатам;</w:t>
      </w:r>
    </w:p>
    <w:p w14:paraId="17AF28E8" w14:textId="77777777" w:rsidR="000D47C5" w:rsidRPr="000D47C5" w:rsidRDefault="000D47C5" w:rsidP="000D47C5">
      <w:pPr>
        <w:widowControl w:val="0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4"/>
          <w:lang w:eastAsia="ru-RU"/>
        </w:rPr>
        <w:t>аналитический отчет в виде презентации руководству организации по результатам произведенных расчетов.</w:t>
      </w:r>
    </w:p>
    <w:p w14:paraId="77283F3E" w14:textId="77777777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</w:t>
      </w: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</w:t>
      </w: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Бюджетирование и управление денежными потоками (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вариатив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5E0F31B2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2 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7F26364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8DBB21D" w14:textId="77777777" w:rsidR="00414027" w:rsidRPr="00414027" w:rsidRDefault="00414027" w:rsidP="000D47C5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рамках модуля Конкурсанту предложены профессиональные кейсы, содержащие информацию о деятельности коммерческой компании, необходимую для формирования бюджетов на предстоящий период. </w:t>
      </w:r>
    </w:p>
    <w:p w14:paraId="6C02D34A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7C5">
        <w:rPr>
          <w:rFonts w:ascii="Times New Roman" w:eastAsia="Calibri" w:hAnsi="Times New Roman" w:cs="Times New Roman"/>
          <w:sz w:val="28"/>
          <w:szCs w:val="28"/>
        </w:rPr>
        <w:t>Конкурсанту необходимо,</w:t>
      </w:r>
      <w:r w:rsidRPr="000D47C5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применяя офисные программы:</w:t>
      </w:r>
    </w:p>
    <w:p w14:paraId="4370A313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и обосновать решение по ценообразованию на оказываемые услуги;</w:t>
      </w:r>
    </w:p>
    <w:p w14:paraId="532CE266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разработать систему бюджетов с учетом особенностей деятельности компании (бюджет доходов; бюджет расходов; бюджет трудовых затрат; налоговый бюджет);</w:t>
      </w:r>
    </w:p>
    <w:p w14:paraId="7BF63C5E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обосновать бюджет движения денежных средств на квартал в разрезе месяцев; </w:t>
      </w:r>
    </w:p>
    <w:p w14:paraId="3076CFC5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определить и оценить способы финансирования деятельности. </w:t>
      </w:r>
    </w:p>
    <w:p w14:paraId="773B0285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Выполнение задания предусматривает использование программного обеспечения для офисной работы, справочно-правовых систем.</w:t>
      </w:r>
    </w:p>
    <w:p w14:paraId="651E54CF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0630FCF2" w14:textId="77777777" w:rsidR="000D47C5" w:rsidRPr="000D47C5" w:rsidRDefault="000D47C5" w:rsidP="000D47C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Конкурсанту необходимо </w:t>
      </w:r>
      <w:r w:rsidRPr="000D47C5">
        <w:rPr>
          <w:rFonts w:ascii="Times New Roman" w:eastAsia="Calibri" w:hAnsi="Times New Roman" w:cs="Times New Roman"/>
          <w:sz w:val="28"/>
          <w:szCs w:val="28"/>
        </w:rPr>
        <w:t xml:space="preserve">сформировать </w:t>
      </w: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и распечатать (сохранить в электронном виде):</w:t>
      </w:r>
    </w:p>
    <w:p w14:paraId="206480C5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Отчет по обоснованию цен на оказываемые услуги; </w:t>
      </w:r>
    </w:p>
    <w:p w14:paraId="4AACC987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Разработанную систему бюджетов, включая бюджет движения денежных средств;</w:t>
      </w:r>
    </w:p>
    <w:p w14:paraId="61BC1037" w14:textId="77777777" w:rsidR="000D47C5" w:rsidRPr="000D47C5" w:rsidRDefault="000D47C5" w:rsidP="000D47C5">
      <w:pPr>
        <w:widowControl w:val="0"/>
        <w:numPr>
          <w:ilvl w:val="0"/>
          <w:numId w:val="2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47C5">
        <w:rPr>
          <w:rFonts w:ascii="Times New Roman" w:eastAsia="Calibri" w:hAnsi="Times New Roman" w:cs="Times New Roman"/>
          <w:sz w:val="28"/>
          <w:szCs w:val="28"/>
          <w:lang w:eastAsia="ru-RU"/>
        </w:rPr>
        <w:t>Отчет по оценке эффективности финансирования деятельности.</w:t>
      </w:r>
    </w:p>
    <w:p w14:paraId="7A7CA73B" w14:textId="77777777" w:rsidR="00414027" w:rsidRPr="00414027" w:rsidRDefault="00414027" w:rsidP="0041402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288629" w14:textId="0B6F48AC" w:rsidR="00414027" w:rsidRPr="00414027" w:rsidRDefault="00414027" w:rsidP="0041402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Д.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Налоговое консультирование (</w:t>
      </w:r>
      <w:proofErr w:type="spellStart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атив</w:t>
      </w:r>
      <w:proofErr w:type="spellEnd"/>
      <w:r w:rsidRPr="0041402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414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7CAF92F4" w14:textId="6E4941D4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2 </w:t>
      </w:r>
      <w:r w:rsidRPr="00414027">
        <w:rPr>
          <w:rFonts w:ascii="Times New Roman" w:eastAsia="Times New Roman" w:hAnsi="Times New Roman" w:cs="Times New Roman"/>
          <w:bCs/>
          <w:i/>
          <w:sz w:val="28"/>
          <w:szCs w:val="28"/>
        </w:rPr>
        <w:t>часа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A5A674" w14:textId="77777777" w:rsidR="00414027" w:rsidRPr="00414027" w:rsidRDefault="00414027" w:rsidP="00414027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Задания:</w:t>
      </w:r>
      <w:r w:rsidRPr="004140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4BEFAE3F" w14:textId="77777777" w:rsidR="00414027" w:rsidRPr="00414027" w:rsidRDefault="00414027" w:rsidP="000D47C5">
      <w:pPr>
        <w:tabs>
          <w:tab w:val="left" w:pos="567"/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14027">
        <w:rPr>
          <w:rFonts w:ascii="Times New Roman" w:eastAsia="Calibri" w:hAnsi="Times New Roman" w:cs="Times New Roman"/>
          <w:sz w:val="28"/>
          <w:szCs w:val="24"/>
        </w:rPr>
        <w:t>В рамках модуля Конкурсанту предложены профессиональные кейсы, содержащие информацию, необходимую для решения налоговых ситуаций.</w:t>
      </w:r>
    </w:p>
    <w:p w14:paraId="1B5F9FDE" w14:textId="77777777" w:rsidR="000D47C5" w:rsidRPr="002D6CBF" w:rsidRDefault="000D47C5" w:rsidP="000D47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</w:t>
      </w:r>
      <w:r w:rsidRPr="00E3337B">
        <w:rPr>
          <w:rFonts w:ascii="Times New Roman" w:eastAsia="Calibri" w:hAnsi="Times New Roman" w:cs="Times New Roman"/>
          <w:sz w:val="28"/>
          <w:szCs w:val="24"/>
        </w:rPr>
        <w:t>необходимо,</w:t>
      </w:r>
      <w:r w:rsidRPr="00E3337B">
        <w:rPr>
          <w:rFonts w:ascii="Times New Roman" w:eastAsia="Calibri" w:hAnsi="Times New Roman" w:cs="Times New Roman"/>
          <w:bCs/>
          <w:sz w:val="28"/>
          <w:szCs w:val="24"/>
        </w:rPr>
        <w:t xml:space="preserve"> применяя офисные программы</w:t>
      </w:r>
      <w:r w:rsidRPr="002D6CBF">
        <w:rPr>
          <w:rFonts w:ascii="Times New Roman" w:eastAsia="Calibri" w:hAnsi="Times New Roman" w:cs="Times New Roman"/>
          <w:sz w:val="28"/>
          <w:szCs w:val="24"/>
        </w:rPr>
        <w:t>:</w:t>
      </w:r>
    </w:p>
    <w:p w14:paraId="3E84D546" w14:textId="77777777" w:rsidR="000D47C5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оценить деятельность налогоплательщика, проанализировать правильность выбора системы налогообложения, рассчитанной налоговой базы, су</w:t>
      </w:r>
      <w:r>
        <w:rPr>
          <w:rFonts w:ascii="Times New Roman" w:eastAsia="Calibri" w:hAnsi="Times New Roman" w:cs="Times New Roman"/>
          <w:sz w:val="28"/>
          <w:szCs w:val="24"/>
        </w:rPr>
        <w:t>ммы уплаченных налогов и сборов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; </w:t>
      </w:r>
    </w:p>
    <w:p w14:paraId="08F6BF2A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определить возможность применения и/или сохранения льгот организации по виду деятельности;</w:t>
      </w:r>
    </w:p>
    <w:p w14:paraId="7D1074D6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налоговую нагрузку и оптимальную систему налогообложения организации, направления с обоснованием оптимизации налогов и сборов в целом по организации;</w:t>
      </w:r>
    </w:p>
    <w:p w14:paraId="7B5F39FD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составить отчет руководству организации по оптимизации налогов, сборов и обязательных взносов в бюджет;</w:t>
      </w:r>
    </w:p>
    <w:p w14:paraId="0F408FAE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определить налоговые последствия для организации</w:t>
      </w:r>
      <w:r w:rsidRPr="004B46A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получен</w:t>
      </w:r>
      <w:r>
        <w:rPr>
          <w:rFonts w:ascii="Times New Roman" w:eastAsia="Calibri" w:hAnsi="Times New Roman" w:cs="Times New Roman"/>
          <w:sz w:val="28"/>
          <w:szCs w:val="24"/>
        </w:rPr>
        <w:t>ным документам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ИФНС, оценить налоговые риски организации;</w:t>
      </w:r>
    </w:p>
    <w:p w14:paraId="3AD4C7EC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ответ-обоснование позиции налогоплательщика при получении документов ИФНС;</w:t>
      </w:r>
    </w:p>
    <w:p w14:paraId="10068E0A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представить рекомендации руководству организации по устранению негативных последствий, связанных с получен</w:t>
      </w:r>
      <w:r>
        <w:rPr>
          <w:rFonts w:ascii="Times New Roman" w:eastAsia="Calibri" w:hAnsi="Times New Roman" w:cs="Times New Roman"/>
          <w:sz w:val="28"/>
          <w:szCs w:val="24"/>
        </w:rPr>
        <w:t>ными документами от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ИФНС.</w:t>
      </w:r>
    </w:p>
    <w:p w14:paraId="6C19E290" w14:textId="77777777" w:rsidR="000D47C5" w:rsidRPr="002D6CBF" w:rsidRDefault="000D47C5" w:rsidP="000D47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Выполнение задания предусматривает использование программного обеспечения для офисной работы, справочно-правовых систем. При выполнении задания возможно использование сервисов сайта 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nalog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  <w:proofErr w:type="spellStart"/>
      <w:r w:rsidRPr="002D6CBF">
        <w:rPr>
          <w:rFonts w:ascii="Times New Roman" w:eastAsia="Calibri" w:hAnsi="Times New Roman" w:cs="Times New Roman"/>
          <w:sz w:val="28"/>
          <w:szCs w:val="24"/>
          <w:lang w:val="en-US"/>
        </w:rPr>
        <w:t>ru</w:t>
      </w:r>
      <w:proofErr w:type="spellEnd"/>
      <w:r w:rsidRPr="002D6CBF">
        <w:rPr>
          <w:rFonts w:ascii="Times New Roman" w:eastAsia="Calibri" w:hAnsi="Times New Roman" w:cs="Times New Roman"/>
          <w:sz w:val="28"/>
          <w:szCs w:val="24"/>
        </w:rPr>
        <w:t>, zachestnyibiznes.ru.</w:t>
      </w:r>
    </w:p>
    <w:p w14:paraId="2751F530" w14:textId="77777777" w:rsidR="000D47C5" w:rsidRPr="000D47C5" w:rsidRDefault="000D47C5" w:rsidP="000D47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D47C5">
        <w:rPr>
          <w:rFonts w:ascii="Times New Roman" w:eastAsia="Calibri" w:hAnsi="Times New Roman" w:cs="Times New Roman"/>
          <w:sz w:val="28"/>
          <w:szCs w:val="24"/>
        </w:rPr>
        <w:t xml:space="preserve">Если какие-то исходные данные в задании не определены и их ввод необходим с точки зрения учетной работы, допускается ввод произвольных значений.  </w:t>
      </w:r>
    </w:p>
    <w:p w14:paraId="2E2EC53E" w14:textId="77777777" w:rsidR="000D47C5" w:rsidRPr="002D6CBF" w:rsidRDefault="000D47C5" w:rsidP="000D47C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Конкурсанту необходимо </w:t>
      </w:r>
      <w:r>
        <w:rPr>
          <w:rFonts w:ascii="Times New Roman" w:eastAsia="Calibri" w:hAnsi="Times New Roman" w:cs="Times New Roman"/>
          <w:sz w:val="28"/>
          <w:szCs w:val="24"/>
        </w:rPr>
        <w:t>сформировать</w:t>
      </w: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 и распечатать (сохранить в электронном виде):</w:t>
      </w:r>
    </w:p>
    <w:p w14:paraId="5351A7A6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lastRenderedPageBreak/>
        <w:t>отчет по результатам предложенных мероприятий по выбору системы налогообложения и оптимизации налогообложения в организации.</w:t>
      </w:r>
    </w:p>
    <w:p w14:paraId="7E997A1F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>ответ на запрос налоговой инспекции о предоставлении пояснений по факту выявленных нарушений;</w:t>
      </w:r>
    </w:p>
    <w:p w14:paraId="60EEE9E6" w14:textId="77777777" w:rsidR="000D47C5" w:rsidRPr="002D6CBF" w:rsidRDefault="000D47C5" w:rsidP="000D47C5">
      <w:pPr>
        <w:numPr>
          <w:ilvl w:val="0"/>
          <w:numId w:val="3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D6CBF">
        <w:rPr>
          <w:rFonts w:ascii="Times New Roman" w:eastAsia="Calibri" w:hAnsi="Times New Roman" w:cs="Times New Roman"/>
          <w:sz w:val="28"/>
          <w:szCs w:val="24"/>
        </w:rPr>
        <w:t xml:space="preserve">отчет руководству по </w:t>
      </w:r>
      <w:proofErr w:type="gramStart"/>
      <w:r w:rsidRPr="002D6CBF">
        <w:rPr>
          <w:rFonts w:ascii="Times New Roman" w:eastAsia="Calibri" w:hAnsi="Times New Roman" w:cs="Times New Roman"/>
          <w:sz w:val="28"/>
          <w:szCs w:val="24"/>
        </w:rPr>
        <w:t>решению налоговой ситуации</w:t>
      </w:r>
      <w:proofErr w:type="gramEnd"/>
      <w:r w:rsidRPr="002D6CBF">
        <w:rPr>
          <w:rFonts w:ascii="Times New Roman" w:eastAsia="Calibri" w:hAnsi="Times New Roman" w:cs="Times New Roman"/>
          <w:sz w:val="28"/>
          <w:szCs w:val="24"/>
        </w:rPr>
        <w:t>.</w:t>
      </w:r>
    </w:p>
    <w:p w14:paraId="177585C4" w14:textId="06E30E67" w:rsidR="009E5BD9" w:rsidRDefault="009E5BD9" w:rsidP="00730A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B6497F" w14:textId="369219B7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66051565"/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3"/>
      <w:bookmarkEnd w:id="14"/>
    </w:p>
    <w:p w14:paraId="0EB4DE2B" w14:textId="48F42269" w:rsidR="00414027" w:rsidRPr="00414027" w:rsidRDefault="00414027" w:rsidP="0041402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Количество рабочих мест на площадке должно соответствовать количеству аккредитованных участников конкурса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 в каждом потоке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>. Чемпионат по компетенции «Бухгалтерский учет» необходимо проводить только в одну смену.</w:t>
      </w:r>
    </w:p>
    <w:p w14:paraId="134EA0DE" w14:textId="77777777" w:rsidR="009E195E" w:rsidRPr="009E195E" w:rsidRDefault="009E195E" w:rsidP="009E195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95E"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указанным главным экспертом образом. Результаты, не сохраненные указанным порядком, проверке не подлежат. </w:t>
      </w:r>
    </w:p>
    <w:p w14:paraId="255ECDA8" w14:textId="5B606750" w:rsidR="00523597" w:rsidRPr="00523597" w:rsidRDefault="00523597" w:rsidP="0052359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закрывает все приложения на ПК. Добавление времени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печати и/или 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сохранения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523597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допускается.</w:t>
      </w:r>
    </w:p>
    <w:p w14:paraId="4BBBCAA6" w14:textId="458B5E5F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Все записи, выполненные конкурсантом на рабочем месте, после окончания </w:t>
      </w:r>
      <w:r w:rsidR="00C53DB8">
        <w:rPr>
          <w:rFonts w:ascii="Times New Roman" w:eastAsia="Times New Roman" w:hAnsi="Times New Roman" w:cs="Times New Roman"/>
          <w:sz w:val="28"/>
          <w:szCs w:val="28"/>
        </w:rPr>
        <w:t xml:space="preserve">времени выполнения </w:t>
      </w:r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модуля должны оставаться на рабочем столе конкурсанта.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Конкурсантам и экспертам запрещается выносить с конкурсной площадки бумажные или цифровые копии документов, относящихся к конкурсному заданию (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исходные данные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критерии оценки,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ведомости оценки, протоколы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 момента завершения соревнований либо только с разрешения Главного эксперта.</w:t>
      </w:r>
    </w:p>
    <w:p w14:paraId="7E5A1087" w14:textId="7ECEF288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оценки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модуля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конкурсантов кодируются. После того, как конкурсанты завершили модуль, собранные выполненные конкурсные задания Главный эксперт кодирует секретным номером. При этом в группах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возможности сопоставить работу с конкретным Конкурсантом. С рабочих мест и выполненных заданий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конкурсантов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убраны любые обозначения принадлежности работ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конкретному конкурсанту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038FD28" w14:textId="031400A8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ТОЛЬКО результат выполнения задания (распечатанные и/или сохраненные документы, файлы) или установленный факт (нарушение правил). Оценка конкурсных заданий осуществляется по итогам каждого модуля на рабочих местах групп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</w:t>
      </w:r>
      <w:r w:rsidR="00C53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распечатанных документов, сохраненных файлов и копий баз автоматизированной системы ведения учета конкурсантов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54D9F3" w14:textId="77777777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оборудования, предоставленного конкурсанту Организатором соревнований, дополнительное время конкурсанту не будет предоставлено, если Технический администратор площадки сможет доказать, что технический сбой является ошибкой, неумением или результатом халатности данного конкурсанта. </w:t>
      </w:r>
    </w:p>
    <w:p w14:paraId="233A00C4" w14:textId="77777777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любого нерегламентированного использования сети Интернет, запрещенных средств</w:t>
      </w: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связи, любых видов памяти (накопителей), в том числе и любых устройств с USB-разъемом,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</w:t>
      </w: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и) могут быть обнулены в установленном порядке.</w:t>
      </w:r>
    </w:p>
    <w:p w14:paraId="033C2F9B" w14:textId="4A5BFCB4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Calibri" w:hAnsi="Times New Roman" w:cs="Times New Roman"/>
          <w:sz w:val="28"/>
          <w:szCs w:val="28"/>
          <w:lang w:eastAsia="ru-RU"/>
        </w:rPr>
        <w:t>Участник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нарушивший правила поведения/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</w:t>
      </w: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чемпионате, и чье поведение мешает процедуре проведения чемпионата, получает предупреждение с занесением в протокол нештатных ситуаций. После повторного предупреждения участник удаляется с площадки </w:t>
      </w:r>
      <w:r w:rsidR="000B009B"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протокол нештатных ситуаций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AFCF7" w14:textId="3D0422C7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Конкурсанты и эксперты-наставники не могут общаться до окончания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времени выполнения задания модуля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перерыве на обед. Каждое зафиксированное общение эксперта-наставника с конкурсантом будет отмечено и повлияет на оценку конкурсанта в процессе оценивания. При установлении факта контакта эксперта-наставника, представителя того же учебного заведения со своим конкурсантом во время выполнения конкурсного задания у 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конкурсанта обнуляются баллы за соответствующий модуль, во время выполнения которого, был зафиксирован факт контакта.</w:t>
      </w:r>
    </w:p>
    <w:p w14:paraId="55C7574A" w14:textId="2184941B" w:rsidR="00414027" w:rsidRPr="00414027" w:rsidRDefault="00414027" w:rsidP="0041402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некорректного или грубого поведения эксперта, его попыток вмешиваться в работу группы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намеренное обращение к конкурсанту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отвлечение во время выполнения задания, оскорбление конкурсантов </w:t>
      </w:r>
      <w:r w:rsid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>и/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экспертов во время проведения чемпионата, игнорирование указаний главного эксперта и других нарушений этики, такое нарушение фиксируется, и составляется протокол с решением: за первое нарушение – предупреждение;</w:t>
      </w:r>
      <w:proofErr w:type="gramEnd"/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второе нарушение – удаление данного эксперта с площадки вплоть до конца проведения соревнований</w:t>
      </w:r>
      <w:r w:rsidR="000B009B" w:rsidRPr="000B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09B"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 в протокол нештатных ситуаций</w:t>
      </w:r>
      <w:r w:rsidRPr="00414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66051566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6E9AC57B" w14:textId="77777777" w:rsidR="00414027" w:rsidRPr="00414027" w:rsidRDefault="00414027" w:rsidP="0041402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Нулевой</w:t>
      </w:r>
    </w:p>
    <w:p w14:paraId="112A6605" w14:textId="73692741" w:rsidR="00E15F2A" w:rsidRPr="00A4187F" w:rsidRDefault="00A11569" w:rsidP="00414027">
      <w:pPr>
        <w:pStyle w:val="-2"/>
        <w:ind w:firstLine="709"/>
        <w:jc w:val="both"/>
        <w:rPr>
          <w:rFonts w:ascii="Times New Roman" w:hAnsi="Times New Roman"/>
        </w:rPr>
      </w:pPr>
      <w:bookmarkStart w:id="17" w:name="_Toc78885660"/>
      <w:bookmarkStart w:id="18" w:name="_Toc166051567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7086EDB1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027">
        <w:rPr>
          <w:rFonts w:ascii="Times New Roman" w:eastAsia="Times New Roman" w:hAnsi="Times New Roman" w:cs="Times New Roman"/>
          <w:sz w:val="28"/>
          <w:szCs w:val="28"/>
        </w:rPr>
        <w:t xml:space="preserve">Электронные устройства (планшет, смартфон, мобильный телефон, гарнитура, электронные наручные часы, смарт-часы, </w:t>
      </w:r>
      <w:proofErr w:type="spellStart"/>
      <w:r w:rsidRPr="00414027">
        <w:rPr>
          <w:rFonts w:ascii="Times New Roman" w:eastAsia="Times New Roman" w:hAnsi="Times New Roman" w:cs="Times New Roman"/>
          <w:sz w:val="28"/>
          <w:szCs w:val="28"/>
        </w:rPr>
        <w:t>Bluetooth</w:t>
      </w:r>
      <w:proofErr w:type="spellEnd"/>
      <w:r w:rsidRPr="00414027">
        <w:rPr>
          <w:rFonts w:ascii="Times New Roman" w:eastAsia="Times New Roman" w:hAnsi="Times New Roman" w:cs="Times New Roman"/>
          <w:sz w:val="28"/>
          <w:szCs w:val="28"/>
        </w:rPr>
        <w:t>-устройства и т.п.);</w:t>
      </w:r>
      <w:proofErr w:type="gramEnd"/>
    </w:p>
    <w:p w14:paraId="03599E88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Дополнительные жесткие диски, другие накопители информации;</w:t>
      </w:r>
    </w:p>
    <w:p w14:paraId="20238B5E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Пособия, содержащие справочную информацию по сфере компетенции;</w:t>
      </w:r>
    </w:p>
    <w:p w14:paraId="0EA66553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Фото/видео устройства;</w:t>
      </w:r>
    </w:p>
    <w:p w14:paraId="2089E244" w14:textId="77777777" w:rsidR="00414027" w:rsidRPr="00414027" w:rsidRDefault="00414027" w:rsidP="0041402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4027">
        <w:rPr>
          <w:rFonts w:ascii="Times New Roman" w:eastAsia="Times New Roman" w:hAnsi="Times New Roman" w:cs="Times New Roman"/>
          <w:sz w:val="28"/>
          <w:szCs w:val="28"/>
        </w:rPr>
        <w:t>Иное оборудование, не указанное в Инфраструктурном листе.</w:t>
      </w:r>
    </w:p>
    <w:p w14:paraId="538D3EE9" w14:textId="552E6935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6051568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1F6A2793" w14:textId="5A991DD0" w:rsidR="002B3DBB" w:rsidRDefault="00414027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 4.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Исходные данные и шаблоны документов</w:t>
      </w:r>
      <w:r w:rsidRPr="004140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027">
        <w:rPr>
          <w:rFonts w:ascii="Times New Roman" w:hAnsi="Times New Roman" w:cs="Times New Roman"/>
          <w:sz w:val="28"/>
          <w:szCs w:val="28"/>
        </w:rPr>
        <w:t>для конкурсного задания</w:t>
      </w:r>
      <w:r w:rsidR="007B3FD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DBB" w:rsidSect="00473C4A">
      <w:footerReference w:type="default" r:id="rId20"/>
      <w:footerReference w:type="first" r:id="rId2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A9166" w14:textId="77777777" w:rsidR="00427614" w:rsidRDefault="00427614" w:rsidP="00970F49">
      <w:pPr>
        <w:spacing w:after="0" w:line="240" w:lineRule="auto"/>
      </w:pPr>
      <w:r>
        <w:separator/>
      </w:r>
    </w:p>
  </w:endnote>
  <w:endnote w:type="continuationSeparator" w:id="0">
    <w:p w14:paraId="5145991D" w14:textId="77777777" w:rsidR="00427614" w:rsidRDefault="004276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539D1A62" w:rsidR="00C226B5" w:rsidRDefault="00C226B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2D2">
          <w:rPr>
            <w:noProof/>
          </w:rPr>
          <w:t>18</w:t>
        </w:r>
        <w:r>
          <w:fldChar w:fldCharType="end"/>
        </w:r>
      </w:p>
    </w:sdtContent>
  </w:sdt>
  <w:p w14:paraId="4954A654" w14:textId="77777777" w:rsidR="00C226B5" w:rsidRDefault="00C226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EF7A" w14:textId="1326888F" w:rsidR="00C226B5" w:rsidRDefault="00C226B5">
    <w:pPr>
      <w:pStyle w:val="a7"/>
      <w:jc w:val="right"/>
    </w:pPr>
  </w:p>
  <w:p w14:paraId="53CBA541" w14:textId="77777777" w:rsidR="00C226B5" w:rsidRDefault="00C226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CBBA4" w14:textId="77777777" w:rsidR="00427614" w:rsidRDefault="00427614" w:rsidP="00970F49">
      <w:pPr>
        <w:spacing w:after="0" w:line="240" w:lineRule="auto"/>
      </w:pPr>
      <w:r>
        <w:separator/>
      </w:r>
    </w:p>
  </w:footnote>
  <w:footnote w:type="continuationSeparator" w:id="0">
    <w:p w14:paraId="59AEF9C1" w14:textId="77777777" w:rsidR="00427614" w:rsidRDefault="00427614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C226B5" w:rsidRDefault="00C226B5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КЗ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B360BF8"/>
    <w:multiLevelType w:val="hybridMultilevel"/>
    <w:tmpl w:val="CDCC9590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B44E1C"/>
    <w:multiLevelType w:val="hybridMultilevel"/>
    <w:tmpl w:val="B4D86A38"/>
    <w:lvl w:ilvl="0" w:tplc="10864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51807"/>
    <w:multiLevelType w:val="hybridMultilevel"/>
    <w:tmpl w:val="078A83BA"/>
    <w:lvl w:ilvl="0" w:tplc="9CC47D80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69667E1"/>
    <w:multiLevelType w:val="hybridMultilevel"/>
    <w:tmpl w:val="E6E09D80"/>
    <w:lvl w:ilvl="0" w:tplc="E2A8FE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E374BD"/>
    <w:multiLevelType w:val="hybridMultilevel"/>
    <w:tmpl w:val="79E0F2FA"/>
    <w:lvl w:ilvl="0" w:tplc="9CC47D8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D7352"/>
    <w:multiLevelType w:val="hybridMultilevel"/>
    <w:tmpl w:val="D4D0EFE6"/>
    <w:lvl w:ilvl="0" w:tplc="10864BD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506B59D4"/>
    <w:multiLevelType w:val="hybridMultilevel"/>
    <w:tmpl w:val="B88C84C0"/>
    <w:lvl w:ilvl="0" w:tplc="973A1C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853B01"/>
    <w:multiLevelType w:val="hybridMultilevel"/>
    <w:tmpl w:val="AEE4FA56"/>
    <w:lvl w:ilvl="0" w:tplc="9CC47D80">
      <w:start w:val="1"/>
      <w:numFmt w:val="russianLower"/>
      <w:lvlText w:val="%1)"/>
      <w:lvlJc w:val="left"/>
      <w:pPr>
        <w:ind w:left="683" w:hanging="360"/>
      </w:pPr>
      <w:rPr>
        <w:w w:val="100"/>
        <w:sz w:val="24"/>
        <w:szCs w:val="24"/>
        <w:lang w:val="ru-RU" w:eastAsia="en-US" w:bidi="ar-SA"/>
      </w:rPr>
    </w:lvl>
    <w:lvl w:ilvl="1" w:tplc="E79E4E76">
      <w:numFmt w:val="bullet"/>
      <w:lvlText w:val="•"/>
      <w:lvlJc w:val="left"/>
      <w:pPr>
        <w:ind w:left="680" w:hanging="360"/>
      </w:pPr>
      <w:rPr>
        <w:lang w:val="ru-RU" w:eastAsia="en-US" w:bidi="ar-SA"/>
      </w:rPr>
    </w:lvl>
    <w:lvl w:ilvl="2" w:tplc="81D40D30">
      <w:numFmt w:val="bullet"/>
      <w:lvlText w:val="•"/>
      <w:lvlJc w:val="left"/>
      <w:pPr>
        <w:ind w:left="1683" w:hanging="360"/>
      </w:pPr>
      <w:rPr>
        <w:lang w:val="ru-RU" w:eastAsia="en-US" w:bidi="ar-SA"/>
      </w:rPr>
    </w:lvl>
    <w:lvl w:ilvl="3" w:tplc="64EC48C0">
      <w:numFmt w:val="bullet"/>
      <w:lvlText w:val="•"/>
      <w:lvlJc w:val="left"/>
      <w:pPr>
        <w:ind w:left="2686" w:hanging="360"/>
      </w:pPr>
      <w:rPr>
        <w:lang w:val="ru-RU" w:eastAsia="en-US" w:bidi="ar-SA"/>
      </w:rPr>
    </w:lvl>
    <w:lvl w:ilvl="4" w:tplc="60E4856C">
      <w:numFmt w:val="bullet"/>
      <w:lvlText w:val="•"/>
      <w:lvlJc w:val="left"/>
      <w:pPr>
        <w:ind w:left="3689" w:hanging="360"/>
      </w:pPr>
      <w:rPr>
        <w:lang w:val="ru-RU" w:eastAsia="en-US" w:bidi="ar-SA"/>
      </w:rPr>
    </w:lvl>
    <w:lvl w:ilvl="5" w:tplc="E5F2009E">
      <w:numFmt w:val="bullet"/>
      <w:lvlText w:val="•"/>
      <w:lvlJc w:val="left"/>
      <w:pPr>
        <w:ind w:left="4692" w:hanging="360"/>
      </w:pPr>
      <w:rPr>
        <w:lang w:val="ru-RU" w:eastAsia="en-US" w:bidi="ar-SA"/>
      </w:rPr>
    </w:lvl>
    <w:lvl w:ilvl="6" w:tplc="2E0CD1D4">
      <w:numFmt w:val="bullet"/>
      <w:lvlText w:val="•"/>
      <w:lvlJc w:val="left"/>
      <w:pPr>
        <w:ind w:left="5695" w:hanging="360"/>
      </w:pPr>
      <w:rPr>
        <w:lang w:val="ru-RU" w:eastAsia="en-US" w:bidi="ar-SA"/>
      </w:rPr>
    </w:lvl>
    <w:lvl w:ilvl="7" w:tplc="6276DDB4">
      <w:numFmt w:val="bullet"/>
      <w:lvlText w:val="•"/>
      <w:lvlJc w:val="left"/>
      <w:pPr>
        <w:ind w:left="6699" w:hanging="360"/>
      </w:pPr>
      <w:rPr>
        <w:lang w:val="ru-RU" w:eastAsia="en-US" w:bidi="ar-SA"/>
      </w:rPr>
    </w:lvl>
    <w:lvl w:ilvl="8" w:tplc="E5EAC372">
      <w:numFmt w:val="bullet"/>
      <w:lvlText w:val="•"/>
      <w:lvlJc w:val="left"/>
      <w:pPr>
        <w:ind w:left="7702" w:hanging="360"/>
      </w:pPr>
      <w:rPr>
        <w:lang w:val="ru-RU" w:eastAsia="en-US" w:bidi="ar-SA"/>
      </w:rPr>
    </w:lvl>
  </w:abstractNum>
  <w:abstractNum w:abstractNumId="25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27FDD"/>
    <w:multiLevelType w:val="hybridMultilevel"/>
    <w:tmpl w:val="49CC7D02"/>
    <w:lvl w:ilvl="0" w:tplc="17E02A0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6"/>
  </w:num>
  <w:num w:numId="10">
    <w:abstractNumId w:val="7"/>
  </w:num>
  <w:num w:numId="11">
    <w:abstractNumId w:val="3"/>
  </w:num>
  <w:num w:numId="12">
    <w:abstractNumId w:val="13"/>
  </w:num>
  <w:num w:numId="13">
    <w:abstractNumId w:val="29"/>
  </w:num>
  <w:num w:numId="14">
    <w:abstractNumId w:val="14"/>
  </w:num>
  <w:num w:numId="15">
    <w:abstractNumId w:val="27"/>
  </w:num>
  <w:num w:numId="16">
    <w:abstractNumId w:val="31"/>
  </w:num>
  <w:num w:numId="17">
    <w:abstractNumId w:val="28"/>
  </w:num>
  <w:num w:numId="18">
    <w:abstractNumId w:val="25"/>
  </w:num>
  <w:num w:numId="19">
    <w:abstractNumId w:val="17"/>
  </w:num>
  <w:num w:numId="20">
    <w:abstractNumId w:val="21"/>
  </w:num>
  <w:num w:numId="21">
    <w:abstractNumId w:val="15"/>
  </w:num>
  <w:num w:numId="22">
    <w:abstractNumId w:val="4"/>
  </w:num>
  <w:num w:numId="23">
    <w:abstractNumId w:val="23"/>
  </w:num>
  <w:num w:numId="24">
    <w:abstractNumId w:val="22"/>
  </w:num>
  <w:num w:numId="25">
    <w:abstractNumId w:val="20"/>
  </w:num>
  <w:num w:numId="26">
    <w:abstractNumId w:val="30"/>
  </w:num>
  <w:num w:numId="27">
    <w:abstractNumId w:val="19"/>
  </w:num>
  <w:num w:numId="2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18"/>
  </w:num>
  <w:num w:numId="32">
    <w:abstractNumId w:val="16"/>
  </w:num>
  <w:num w:numId="33">
    <w:abstractNumId w:val="32"/>
  </w:num>
  <w:num w:numId="34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009B"/>
    <w:rsid w:val="000B1C9F"/>
    <w:rsid w:val="000B3397"/>
    <w:rsid w:val="000B55A2"/>
    <w:rsid w:val="000C2FBF"/>
    <w:rsid w:val="000D258B"/>
    <w:rsid w:val="000D43CC"/>
    <w:rsid w:val="000D47C5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1A70"/>
    <w:rsid w:val="001627D5"/>
    <w:rsid w:val="0017612A"/>
    <w:rsid w:val="001B4B65"/>
    <w:rsid w:val="001C1282"/>
    <w:rsid w:val="001C52D9"/>
    <w:rsid w:val="001C63E7"/>
    <w:rsid w:val="001E1DF9"/>
    <w:rsid w:val="001E2A98"/>
    <w:rsid w:val="002042E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05534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14027"/>
    <w:rsid w:val="004254FE"/>
    <w:rsid w:val="00427614"/>
    <w:rsid w:val="00436FFC"/>
    <w:rsid w:val="00437D28"/>
    <w:rsid w:val="0044354A"/>
    <w:rsid w:val="00454353"/>
    <w:rsid w:val="00461AC6"/>
    <w:rsid w:val="0047113E"/>
    <w:rsid w:val="00473C4A"/>
    <w:rsid w:val="0047429B"/>
    <w:rsid w:val="0048795D"/>
    <w:rsid w:val="004904C5"/>
    <w:rsid w:val="004917C4"/>
    <w:rsid w:val="004A07A5"/>
    <w:rsid w:val="004A0DE3"/>
    <w:rsid w:val="004B692B"/>
    <w:rsid w:val="004C3CAF"/>
    <w:rsid w:val="004C703E"/>
    <w:rsid w:val="004D096E"/>
    <w:rsid w:val="004E785E"/>
    <w:rsid w:val="004E7905"/>
    <w:rsid w:val="005055FF"/>
    <w:rsid w:val="00510059"/>
    <w:rsid w:val="005142D2"/>
    <w:rsid w:val="00523597"/>
    <w:rsid w:val="00554CBB"/>
    <w:rsid w:val="005560AC"/>
    <w:rsid w:val="00557CC0"/>
    <w:rsid w:val="0056194A"/>
    <w:rsid w:val="00565B7C"/>
    <w:rsid w:val="0059233B"/>
    <w:rsid w:val="005A0319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900B6"/>
    <w:rsid w:val="006A4EFB"/>
    <w:rsid w:val="006B0FEA"/>
    <w:rsid w:val="006C6D6D"/>
    <w:rsid w:val="006C7A3B"/>
    <w:rsid w:val="006C7CE4"/>
    <w:rsid w:val="006F4464"/>
    <w:rsid w:val="006F7478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5514"/>
    <w:rsid w:val="007E73B4"/>
    <w:rsid w:val="00812516"/>
    <w:rsid w:val="00832EBB"/>
    <w:rsid w:val="00834734"/>
    <w:rsid w:val="00835BF6"/>
    <w:rsid w:val="00837E6A"/>
    <w:rsid w:val="0086709B"/>
    <w:rsid w:val="008761F3"/>
    <w:rsid w:val="00881DD2"/>
    <w:rsid w:val="00882B54"/>
    <w:rsid w:val="008878D7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25A7"/>
    <w:rsid w:val="009A36AD"/>
    <w:rsid w:val="009B18A2"/>
    <w:rsid w:val="009D04EE"/>
    <w:rsid w:val="009E195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A4D94"/>
    <w:rsid w:val="00AD2200"/>
    <w:rsid w:val="00AE6AB7"/>
    <w:rsid w:val="00AE7A32"/>
    <w:rsid w:val="00AF355F"/>
    <w:rsid w:val="00B04925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26B5"/>
    <w:rsid w:val="00C26C83"/>
    <w:rsid w:val="00C31CA1"/>
    <w:rsid w:val="00C52383"/>
    <w:rsid w:val="00C53DB8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A0FB6"/>
    <w:rsid w:val="00DE39D8"/>
    <w:rsid w:val="00DE5614"/>
    <w:rsid w:val="00E0407E"/>
    <w:rsid w:val="00E04FDF"/>
    <w:rsid w:val="00E15F2A"/>
    <w:rsid w:val="00E279E8"/>
    <w:rsid w:val="00E478E7"/>
    <w:rsid w:val="00E53229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2D9"/>
    <w:rsid w:val="00ED53C9"/>
    <w:rsid w:val="00EE197A"/>
    <w:rsid w:val="00EE7DA3"/>
    <w:rsid w:val="00F1662D"/>
    <w:rsid w:val="00F26C3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vo.garant.ru/document/redirect/12164203/2" TargetMode="External"/><Relationship Id="rId18" Type="http://schemas.openxmlformats.org/officeDocument/2006/relationships/hyperlink" Target="http://ivo.garant.ru/document/redirect/12133556/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ivo.garant.ru/document/redirect/12137300/2" TargetMode="External"/><Relationship Id="rId17" Type="http://schemas.openxmlformats.org/officeDocument/2006/relationships/hyperlink" Target="http://ivo.garant.ru/document/redirect/12125268/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1652992/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document/redirect/12164283/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document/redirect/10164072/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document/redirect/10900200/1" TargetMode="External"/><Relationship Id="rId19" Type="http://schemas.openxmlformats.org/officeDocument/2006/relationships/hyperlink" Target="http://ivo.garant.ru/document/redirect/12112604/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vo.garant.ru/document/redirect/12123862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0A659-9CD4-41F3-ADE6-E3ED1042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23</Pages>
  <Words>5391</Words>
  <Characters>30730</Characters>
  <Application>Microsoft Office Word</Application>
  <DocSecurity>0</DocSecurity>
  <Lines>256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©«Ворлдскиллс Россия» (Экспедирование грузов)</dc:creator>
  <cp:keywords/>
  <dc:description/>
  <cp:lastModifiedBy>elya</cp:lastModifiedBy>
  <cp:revision>10</cp:revision>
  <dcterms:created xsi:type="dcterms:W3CDTF">2024-04-20T20:56:00Z</dcterms:created>
  <dcterms:modified xsi:type="dcterms:W3CDTF">2024-05-08T13:20:00Z</dcterms:modified>
</cp:coreProperties>
</file>