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27490CB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A051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Лесная таксация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11C9F5C9" w14:textId="77777777" w:rsidR="001167D8" w:rsidRDefault="001167D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65A54EB9" w:rsidR="00334165" w:rsidRPr="00A204BB" w:rsidRDefault="007761E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11D3E39" w:rsidR="009B18A2" w:rsidRPr="001167D8" w:rsidRDefault="001167D8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 w:rsidRPr="001167D8">
        <w:rPr>
          <w:rFonts w:ascii="Times New Roman" w:hAnsi="Times New Roman" w:cs="Times New Roman"/>
          <w:lang w:bidi="en-US"/>
        </w:rPr>
        <w:t>2024</w:t>
      </w:r>
      <w:r w:rsidR="009E5BD9" w:rsidRPr="001167D8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3AD2773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A037B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3ED6555D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9584FA1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5A0515">
          <w:rPr>
            <w:rStyle w:val="ae"/>
            <w:noProof/>
            <w:sz w:val="24"/>
            <w:szCs w:val="24"/>
          </w:rPr>
          <w:t>Лесная таксация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BEF3A7B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0ECE1663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D69AD8B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0406C00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14E87243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7AD4BEBB" w:rsidR="00A4187F" w:rsidRPr="00A4187F" w:rsidRDefault="007761E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A037B">
          <w:rPr>
            <w:rFonts w:ascii="Times New Roman" w:hAnsi="Times New Roman"/>
            <w:noProof/>
            <w:webHidden/>
            <w:szCs w:val="24"/>
          </w:rPr>
          <w:t>10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46D69F02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58364296" w:rsidR="00A4187F" w:rsidRPr="00A4187F" w:rsidRDefault="007761E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7A037B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6FAA66F4" w:rsidR="00A4187F" w:rsidRPr="00A4187F" w:rsidRDefault="007761E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7A037B">
          <w:rPr>
            <w:rFonts w:ascii="Times New Roman" w:hAnsi="Times New Roman"/>
            <w:noProof/>
            <w:webHidden/>
            <w:szCs w:val="24"/>
          </w:rPr>
          <w:t>10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155DFDD7" w14:textId="17AD6CCE" w:rsidR="005A0515" w:rsidRPr="00C523FA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ФГОС СПО – федеральный государственный образовательный стандарт среднего профессионального образования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51DFD46E" w14:textId="514839DE" w:rsidR="005A0515" w:rsidRPr="00C523FA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2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ИЛ – инфраструктурный лист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12E56A10" w14:textId="1A5C1CB2" w:rsidR="005A0515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3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КО – критерии оценки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;</w:t>
      </w:r>
    </w:p>
    <w:p w14:paraId="0622A316" w14:textId="466453B9" w:rsidR="005A0515" w:rsidRPr="003E3134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4</w:t>
      </w:r>
      <w:r w:rsidRPr="00C523FA">
        <w:rPr>
          <w:rFonts w:ascii="Times New Roman" w:hAnsi="Times New Roman"/>
          <w:bCs/>
          <w:sz w:val="28"/>
          <w:szCs w:val="28"/>
          <w:lang w:val="ru-RU" w:eastAsia="ru-RU"/>
        </w:rPr>
        <w:t>. КЗ – конкурсное задание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;   </w:t>
      </w:r>
    </w:p>
    <w:p w14:paraId="79D72A1A" w14:textId="79BC9EED" w:rsidR="005A0515" w:rsidRPr="003C2EA4" w:rsidRDefault="005A0515" w:rsidP="005A051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5. СИЗ – средства индивидуальной защиты.</w:t>
      </w:r>
    </w:p>
    <w:p w14:paraId="18FD8A99" w14:textId="77777777" w:rsidR="00C17B01" w:rsidRPr="005A0515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CFA8999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A0515">
        <w:rPr>
          <w:rFonts w:ascii="Times New Roman" w:hAnsi="Times New Roman" w:cs="Times New Roman"/>
          <w:sz w:val="28"/>
          <w:szCs w:val="28"/>
          <w:u w:val="single"/>
        </w:rPr>
        <w:t>Лесная таксация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5305B0E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A0515">
        <w:rPr>
          <w:rFonts w:ascii="Times New Roman" w:hAnsi="Times New Roman"/>
          <w:sz w:val="24"/>
          <w:u w:val="single"/>
        </w:rPr>
        <w:t>Лесная таксация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A0515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6961D85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66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ТБ, нормативная и сопроводительная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47F7368E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7BFA9C" w14:textId="77777777" w:rsidR="005A0515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34A283D" w14:textId="3927D887" w:rsidR="005A0515" w:rsidRPr="006F1B9C" w:rsidRDefault="005A0515" w:rsidP="005A05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производственной санитарии, электробезопасности, пожарной и экологической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F65F69" w14:textId="77777777" w:rsidR="005A0515" w:rsidRPr="006F1B9C" w:rsidRDefault="005A0515" w:rsidP="005A051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64E">
              <w:rPr>
                <w:rFonts w:ascii="Times New Roman" w:hAnsi="Times New Roman" w:cs="Times New Roman"/>
                <w:sz w:val="24"/>
                <w:szCs w:val="24"/>
              </w:rPr>
              <w:t>Лесохозяйственные и экологические требования действующих правил заготовки древесины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CB72247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ормативную, правовую и техническую документацию при проведении лесоустроительных работ и таксации;</w:t>
            </w:r>
          </w:p>
          <w:p w14:paraId="78AAD42F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окументацию и правила по охране труда и технике безопасности;</w:t>
            </w:r>
          </w:p>
          <w:p w14:paraId="4C9AF979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итуации, при которых должны использоваться средства индивидуальной защиты;</w:t>
            </w:r>
          </w:p>
          <w:p w14:paraId="10DDAF26" w14:textId="4B00ACA3" w:rsidR="00764773" w:rsidRPr="005A0515" w:rsidRDefault="005A0515" w:rsidP="00764773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ажность поддержания рабочего места в надлежащем состоянии.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ACB26D" w14:textId="77777777" w:rsidR="005A0515" w:rsidRPr="00193F13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F13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45F8AE" w14:textId="77777777" w:rsidR="005A0515" w:rsidRPr="00193F13" w:rsidRDefault="005A0515" w:rsidP="005A0515">
            <w:pPr>
              <w:pStyle w:val="Default"/>
              <w:numPr>
                <w:ilvl w:val="0"/>
                <w:numId w:val="25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193F13">
              <w:rPr>
                <w:rFonts w:ascii="Times New Roman" w:hAnsi="Times New Roman" w:cs="Times New Roman"/>
              </w:rPr>
              <w:t>аботать с нормативной, правовой и технической документацией при проведении лесоустроительных работ и таксации;</w:t>
            </w:r>
          </w:p>
          <w:p w14:paraId="2562196F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ыполнять требования по охране труда и технике безопасности;</w:t>
            </w:r>
          </w:p>
          <w:p w14:paraId="3F767238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дентифицировать и использовать средства индивидуальной защиты;</w:t>
            </w:r>
          </w:p>
          <w:p w14:paraId="3E089F57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равильно выбирать, применять, очищать и хранить все инструменты и оборудование;</w:t>
            </w:r>
          </w:p>
          <w:p w14:paraId="6BD5B401" w14:textId="77777777" w:rsidR="005A0515" w:rsidRPr="00193F13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ккуратно обращаться с дорогостоящим оборудованием;</w:t>
            </w:r>
          </w:p>
          <w:p w14:paraId="6613ED33" w14:textId="77777777" w:rsidR="005A0515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93F13">
              <w:rPr>
                <w:rFonts w:ascii="Times New Roman" w:eastAsia="Times New Roman" w:hAnsi="Times New Roman"/>
                <w:sz w:val="24"/>
                <w:szCs w:val="24"/>
              </w:rPr>
              <w:t>рганизовывать рабочее место для максимально эффективной работы;</w:t>
            </w:r>
          </w:p>
          <w:p w14:paraId="2C196CFE" w14:textId="1424E28D" w:rsidR="00764773" w:rsidRPr="005A0515" w:rsidRDefault="005A0515" w:rsidP="005A0515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515">
              <w:rPr>
                <w:rFonts w:ascii="Times New Roman" w:hAnsi="Times New Roman"/>
                <w:sz w:val="24"/>
                <w:szCs w:val="24"/>
              </w:rPr>
              <w:t>Работать эффективно, постоянно отслеживать результаты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79B2A6B6" w14:textId="77777777" w:rsidTr="005A0515">
        <w:trPr>
          <w:trHeight w:val="27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864CE30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Отвод делянки с составлением абриса и буссольного хода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1E46B2AC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A0515" w:rsidRPr="003732A7" w14:paraId="17BE32A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A49C39C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389260" w14:textId="77777777" w:rsidR="005A0515" w:rsidRPr="006F1B9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870814" w14:textId="77777777" w:rsidR="005A0515" w:rsidRDefault="005A0515" w:rsidP="005A0515">
            <w:pPr>
              <w:pStyle w:val="Default"/>
              <w:numPr>
                <w:ilvl w:val="0"/>
                <w:numId w:val="26"/>
              </w:numPr>
              <w:ind w:left="349"/>
              <w:jc w:val="both"/>
              <w:rPr>
                <w:rFonts w:ascii="Times New Roman" w:eastAsia="Arial Unicode MS" w:hAnsi="Times New Roman" w:cs="Times New Roman"/>
              </w:rPr>
            </w:pPr>
            <w:r w:rsidRPr="006F1B9C">
              <w:rPr>
                <w:rFonts w:ascii="Times New Roman" w:eastAsia="Arial Unicode MS" w:hAnsi="Times New Roman" w:cs="Times New Roman"/>
              </w:rPr>
              <w:t xml:space="preserve">основы геодезии, картографии и геоинформационных систем; </w:t>
            </w:r>
          </w:p>
          <w:p w14:paraId="7AE2438F" w14:textId="59AAFBB4" w:rsidR="005A0515" w:rsidRPr="005A0515" w:rsidRDefault="005A0515" w:rsidP="005A0515">
            <w:pPr>
              <w:pStyle w:val="Default"/>
              <w:numPr>
                <w:ilvl w:val="0"/>
                <w:numId w:val="26"/>
              </w:numPr>
              <w:ind w:left="349"/>
              <w:jc w:val="both"/>
              <w:rPr>
                <w:rFonts w:ascii="Times New Roman" w:eastAsia="Arial Unicode MS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нормативно-правовые акты Российской Федерации, регулирующие лесные отношения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546C9F2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5A01915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B2D54EA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0944065" w14:textId="77777777" w:rsidR="005A0515" w:rsidRPr="006F1B9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B9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E5CE51" w14:textId="77777777" w:rsidR="005A0515" w:rsidRDefault="005A0515" w:rsidP="005A0515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6F1B9C">
              <w:rPr>
                <w:rFonts w:ascii="Times New Roman" w:hAnsi="Times New Roman" w:cs="Times New Roman"/>
              </w:rPr>
              <w:t xml:space="preserve">ориентироваться на местности; </w:t>
            </w:r>
          </w:p>
          <w:p w14:paraId="651F5572" w14:textId="2B5C1030" w:rsidR="005A0515" w:rsidRPr="005A0515" w:rsidRDefault="005A0515" w:rsidP="005A0515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пользоваться геодезическими приборами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1DD858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5134301B" w14:textId="77777777" w:rsidTr="005A0515">
        <w:trPr>
          <w:trHeight w:val="287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DD5CD2A" w:rsidR="005A0515" w:rsidRPr="000244DA" w:rsidRDefault="005A0515" w:rsidP="005A0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1B9C">
              <w:rPr>
                <w:rFonts w:ascii="Times New Roman" w:hAnsi="Times New Roman" w:cs="Times New Roman"/>
                <w:b/>
                <w:sz w:val="24"/>
                <w:szCs w:val="24"/>
              </w:rPr>
              <w:t>Таксация делянки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3E2CACB5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A0515" w:rsidRPr="003732A7" w14:paraId="796F054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5071E0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71704E" w14:textId="77777777" w:rsidR="005A0515" w:rsidRPr="0040638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6EE46E9" w14:textId="77777777" w:rsidR="005A0515" w:rsidRPr="0040638C" w:rsidRDefault="005A0515" w:rsidP="005A0515">
            <w:pPr>
              <w:pStyle w:val="Default"/>
              <w:numPr>
                <w:ilvl w:val="0"/>
                <w:numId w:val="28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 </w:t>
            </w:r>
          </w:p>
          <w:p w14:paraId="0E234C1D" w14:textId="77777777" w:rsidR="005A0515" w:rsidRPr="0040638C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древесной и недревесной продукции; </w:t>
            </w:r>
          </w:p>
          <w:p w14:paraId="6A097687" w14:textId="77777777" w:rsidR="005A0515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методику полевых работ; </w:t>
            </w:r>
          </w:p>
          <w:p w14:paraId="032D6A5B" w14:textId="53B1E0CA" w:rsidR="005A0515" w:rsidRPr="005A0515" w:rsidRDefault="005A0515" w:rsidP="005A0515">
            <w:pPr>
              <w:pStyle w:val="Default"/>
              <w:numPr>
                <w:ilvl w:val="0"/>
                <w:numId w:val="29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 w:cs="Times New Roman"/>
              </w:rPr>
              <w:t>биология древесно-кустарниковых пород.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55DF95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515" w:rsidRPr="003732A7" w14:paraId="1DA06F7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6AE573" w14:textId="77777777" w:rsidR="005A0515" w:rsidRPr="000244DA" w:rsidRDefault="005A051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21A1B3" w14:textId="77777777" w:rsidR="005A0515" w:rsidRPr="0040638C" w:rsidRDefault="005A0515" w:rsidP="005A05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51617" w14:textId="77777777" w:rsidR="005A0515" w:rsidRPr="0040638C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определять таксационные показатели деревьев и насаждений; </w:t>
            </w:r>
          </w:p>
          <w:p w14:paraId="61A5B0E9" w14:textId="77777777" w:rsidR="005A0515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14:paraId="60F1372E" w14:textId="114A121E" w:rsidR="005A0515" w:rsidRPr="005A0515" w:rsidRDefault="005A0515" w:rsidP="005A0515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5A0515">
              <w:rPr>
                <w:rFonts w:ascii="Times New Roman" w:hAnsi="Times New Roman"/>
              </w:rPr>
              <w:t xml:space="preserve">проводить учет древесной и недревесной </w:t>
            </w:r>
            <w:r w:rsidRPr="005A0515">
              <w:rPr>
                <w:rFonts w:ascii="Times New Roman" w:eastAsia="Times New Roman" w:hAnsi="Times New Roman"/>
              </w:rPr>
              <w:t>продукции;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0DEC7B7" w14:textId="77777777" w:rsidR="005A0515" w:rsidRPr="000244DA" w:rsidRDefault="005A0515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1A753297" w14:textId="77777777" w:rsidTr="0035648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6F3BEC0E" w:rsidR="00C07982" w:rsidRPr="000244DA" w:rsidRDefault="00C07982" w:rsidP="00C0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68DBD596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366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C07982" w:rsidRPr="003732A7" w14:paraId="2280D7EC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2234047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684A3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F51486" w14:textId="77777777" w:rsidR="00C07982" w:rsidRPr="0040638C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составления таксационных таблиц; </w:t>
            </w:r>
          </w:p>
          <w:p w14:paraId="7C213703" w14:textId="77777777" w:rsidR="00C07982" w:rsidRPr="0040638C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материальная оценка лесосек </w:t>
            </w:r>
          </w:p>
          <w:p w14:paraId="0E5D0FD4" w14:textId="77777777" w:rsidR="00C07982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локальные акты в области лесных отношений </w:t>
            </w:r>
          </w:p>
          <w:p w14:paraId="7D65DB4D" w14:textId="0B27BBD2" w:rsidR="00C07982" w:rsidRPr="00C07982" w:rsidRDefault="00C07982" w:rsidP="00C07982">
            <w:pPr>
              <w:pStyle w:val="Default"/>
              <w:numPr>
                <w:ilvl w:val="0"/>
                <w:numId w:val="31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 w:cs="Times New Roman"/>
              </w:rPr>
              <w:lastRenderedPageBreak/>
              <w:t>положения, инструкции, приказы и другие руководящие материалы по оформлению технической документации в области лесных отношений.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9B0E4F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1624848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3BBE6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F5568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E17E281" w14:textId="77777777" w:rsidR="00C07982" w:rsidRDefault="00C07982" w:rsidP="00C07982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производить таксацию лесосек различными способами; </w:t>
            </w:r>
          </w:p>
          <w:p w14:paraId="5B3C298A" w14:textId="12C65782" w:rsidR="00C07982" w:rsidRPr="00C07982" w:rsidRDefault="00C07982" w:rsidP="00C07982">
            <w:pPr>
              <w:pStyle w:val="Default"/>
              <w:numPr>
                <w:ilvl w:val="0"/>
                <w:numId w:val="30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/>
              </w:rPr>
              <w:t>использовать информационные технологии для решения расчётных задач.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127BCF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06C23AF4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19379A5" w:rsidR="00C07982" w:rsidRPr="000244DA" w:rsidRDefault="00C07982" w:rsidP="00C0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8C">
              <w:rPr>
                <w:rFonts w:ascii="Times New Roman" w:hAnsi="Times New Roman"/>
                <w:b/>
                <w:sz w:val="24"/>
                <w:szCs w:val="24"/>
              </w:rPr>
              <w:t>Отвод пробной площади и определение таксационных показателей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41AEB058" w:rsidR="00C07982" w:rsidRPr="000244DA" w:rsidRDefault="00C07982" w:rsidP="00C079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C07982" w:rsidRPr="003732A7" w14:paraId="35FBF04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E84F38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768A79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AB2FED" w14:textId="77777777" w:rsidR="00C07982" w:rsidRPr="0040638C" w:rsidRDefault="00C07982" w:rsidP="00C07982">
            <w:pPr>
              <w:pStyle w:val="Default"/>
              <w:numPr>
                <w:ilvl w:val="0"/>
                <w:numId w:val="32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лесная таксация; </w:t>
            </w:r>
          </w:p>
          <w:p w14:paraId="385A8D7C" w14:textId="77777777" w:rsidR="00C07982" w:rsidRPr="0040638C" w:rsidRDefault="00C07982" w:rsidP="00C07982">
            <w:pPr>
              <w:pStyle w:val="Default"/>
              <w:numPr>
                <w:ilvl w:val="0"/>
                <w:numId w:val="27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особенности таксации срубленного и растущего дерева; </w:t>
            </w:r>
          </w:p>
          <w:p w14:paraId="22E33896" w14:textId="77777777" w:rsidR="00C07982" w:rsidRPr="00C07982" w:rsidRDefault="00C07982" w:rsidP="00C0798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38C">
              <w:rPr>
                <w:rFonts w:ascii="Times New Roman" w:hAnsi="Times New Roman"/>
                <w:sz w:val="24"/>
                <w:szCs w:val="24"/>
              </w:rPr>
              <w:t xml:space="preserve">таксационные показатели насаждений и методы их определения; </w:t>
            </w:r>
          </w:p>
          <w:p w14:paraId="4833C44D" w14:textId="5EEF7187" w:rsidR="00C07982" w:rsidRPr="00C07982" w:rsidRDefault="00C07982" w:rsidP="00C07982">
            <w:pPr>
              <w:pStyle w:val="aff1"/>
              <w:numPr>
                <w:ilvl w:val="0"/>
                <w:numId w:val="27"/>
              </w:numPr>
              <w:spacing w:after="0" w:line="240" w:lineRule="auto"/>
              <w:ind w:left="3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7982">
              <w:rPr>
                <w:rFonts w:ascii="Times New Roman" w:hAnsi="Times New Roman"/>
              </w:rPr>
              <w:t>биология древесно-кустарниковых пород.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FE9738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982" w:rsidRPr="003732A7" w14:paraId="23B836C6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F966EB" w14:textId="77777777" w:rsidR="00C07982" w:rsidRPr="000244DA" w:rsidRDefault="00C07982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A7BDDE" w14:textId="77777777" w:rsidR="00C07982" w:rsidRPr="0040638C" w:rsidRDefault="00C07982" w:rsidP="00C079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38C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A2BB594" w14:textId="77777777" w:rsidR="00C07982" w:rsidRPr="0040638C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ориентироваться на местности </w:t>
            </w:r>
          </w:p>
          <w:p w14:paraId="790584CD" w14:textId="77777777" w:rsidR="00C07982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40638C">
              <w:rPr>
                <w:rFonts w:ascii="Times New Roman" w:hAnsi="Times New Roman" w:cs="Times New Roman"/>
              </w:rPr>
              <w:t xml:space="preserve">работать с таксационными таблицами, приборами и инструментами; </w:t>
            </w:r>
          </w:p>
          <w:p w14:paraId="01EE1805" w14:textId="051B07C3" w:rsidR="00C07982" w:rsidRPr="00C07982" w:rsidRDefault="00C07982" w:rsidP="00C07982">
            <w:pPr>
              <w:pStyle w:val="Default"/>
              <w:numPr>
                <w:ilvl w:val="0"/>
                <w:numId w:val="33"/>
              </w:numPr>
              <w:ind w:left="349"/>
              <w:jc w:val="both"/>
              <w:rPr>
                <w:rFonts w:ascii="Times New Roman" w:hAnsi="Times New Roman" w:cs="Times New Roman"/>
              </w:rPr>
            </w:pPr>
            <w:r w:rsidRPr="00C07982">
              <w:rPr>
                <w:rFonts w:ascii="Times New Roman" w:hAnsi="Times New Roman"/>
              </w:rPr>
              <w:t>составлять таксационное описание.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61C38B5" w14:textId="77777777" w:rsidR="00C07982" w:rsidRPr="000244DA" w:rsidRDefault="00C07982" w:rsidP="005A0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6E49E4B2" w:rsidR="00E579D6" w:rsidRPr="00C07982" w:rsidRDefault="00E579D6" w:rsidP="00E579D6">
      <w:pPr>
        <w:pStyle w:val="aff4"/>
        <w:rPr>
          <w:sz w:val="28"/>
          <w:szCs w:val="28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409"/>
        <w:gridCol w:w="1001"/>
        <w:gridCol w:w="989"/>
        <w:gridCol w:w="991"/>
        <w:gridCol w:w="1133"/>
        <w:gridCol w:w="1003"/>
        <w:gridCol w:w="2098"/>
      </w:tblGrid>
      <w:tr w:rsidR="00B5264F" w:rsidRPr="00613219" w14:paraId="753B0945" w14:textId="77777777" w:rsidTr="00E15B38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14:paraId="4508E10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00AC837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B5264F" w:rsidRPr="00613219" w14:paraId="341F47F2" w14:textId="77777777" w:rsidTr="00E15B38">
        <w:trPr>
          <w:trHeight w:val="50"/>
          <w:jc w:val="center"/>
        </w:trPr>
        <w:tc>
          <w:tcPr>
            <w:tcW w:w="1145" w:type="pct"/>
            <w:vMerge w:val="restart"/>
            <w:shd w:val="clear" w:color="auto" w:fill="92D050"/>
            <w:vAlign w:val="center"/>
          </w:tcPr>
          <w:p w14:paraId="74DF9500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7" w:type="pct"/>
            <w:shd w:val="clear" w:color="auto" w:fill="92D050"/>
            <w:vAlign w:val="center"/>
          </w:tcPr>
          <w:p w14:paraId="40640CD2" w14:textId="77777777" w:rsidR="00B5264F" w:rsidRPr="00613219" w:rsidRDefault="00B5264F" w:rsidP="00E15B38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6" w:type="pct"/>
            <w:shd w:val="clear" w:color="auto" w:fill="00B050"/>
            <w:vAlign w:val="center"/>
          </w:tcPr>
          <w:p w14:paraId="594CBCD0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0" w:type="pct"/>
            <w:shd w:val="clear" w:color="auto" w:fill="00B050"/>
            <w:vAlign w:val="center"/>
          </w:tcPr>
          <w:p w14:paraId="6FF4604F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1" w:type="pct"/>
            <w:shd w:val="clear" w:color="auto" w:fill="00B050"/>
          </w:tcPr>
          <w:p w14:paraId="0D1FB45B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573" w:type="pct"/>
            <w:shd w:val="clear" w:color="auto" w:fill="00B050"/>
            <w:vAlign w:val="center"/>
          </w:tcPr>
          <w:p w14:paraId="1456D211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07" w:type="pct"/>
            <w:shd w:val="clear" w:color="auto" w:fill="00B050"/>
          </w:tcPr>
          <w:p w14:paraId="61C582D5" w14:textId="77777777" w:rsidR="00B5264F" w:rsidRPr="00462110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1061" w:type="pct"/>
            <w:shd w:val="clear" w:color="auto" w:fill="00B050"/>
            <w:vAlign w:val="center"/>
          </w:tcPr>
          <w:p w14:paraId="7139091B" w14:textId="77777777" w:rsidR="00B5264F" w:rsidRPr="00613219" w:rsidRDefault="00B5264F" w:rsidP="00E15B38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B5264F" w:rsidRPr="00613219" w14:paraId="5FB9D136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F17E190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42351233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06" w:type="pct"/>
            <w:vAlign w:val="center"/>
          </w:tcPr>
          <w:p w14:paraId="090813E9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pct"/>
            <w:vAlign w:val="center"/>
          </w:tcPr>
          <w:p w14:paraId="15F07BE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center"/>
          </w:tcPr>
          <w:p w14:paraId="45CE37D7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3" w:type="pct"/>
            <w:vAlign w:val="center"/>
          </w:tcPr>
          <w:p w14:paraId="134114AA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7" w:type="pct"/>
          </w:tcPr>
          <w:p w14:paraId="42C2844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B58FB9F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10</w:t>
            </w:r>
          </w:p>
        </w:tc>
      </w:tr>
      <w:tr w:rsidR="00B5264F" w:rsidRPr="00613219" w14:paraId="211E8E02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769BE546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55B79468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06" w:type="pct"/>
            <w:vAlign w:val="center"/>
          </w:tcPr>
          <w:p w14:paraId="7EC53BD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6F965E35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14:paraId="76A8F7AF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" w:type="pct"/>
            <w:vAlign w:val="center"/>
          </w:tcPr>
          <w:p w14:paraId="4B32EC16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7" w:type="pct"/>
          </w:tcPr>
          <w:p w14:paraId="7B97D70A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B218CAD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31541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B5264F" w:rsidRPr="00613219" w14:paraId="1343D167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C3AAF4E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62640F3D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06" w:type="pct"/>
            <w:vAlign w:val="center"/>
          </w:tcPr>
          <w:p w14:paraId="33A97113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  <w:vAlign w:val="center"/>
          </w:tcPr>
          <w:p w14:paraId="0663BE8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1" w:type="pct"/>
            <w:vAlign w:val="center"/>
          </w:tcPr>
          <w:p w14:paraId="3B91AFC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3" w:type="pct"/>
            <w:vAlign w:val="center"/>
          </w:tcPr>
          <w:p w14:paraId="5F10C0CD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7" w:type="pct"/>
          </w:tcPr>
          <w:p w14:paraId="20C16712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69BD4E9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</w:tr>
      <w:tr w:rsidR="00B5264F" w:rsidRPr="00613219" w14:paraId="16C0E5CD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2BC51F55" w14:textId="77777777" w:rsidR="00B5264F" w:rsidRPr="00613219" w:rsidRDefault="00B5264F" w:rsidP="00E15B3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444FBB39" w14:textId="77777777" w:rsidR="00B5264F" w:rsidRPr="00613219" w:rsidRDefault="00B5264F" w:rsidP="00E15B38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06" w:type="pct"/>
            <w:vAlign w:val="center"/>
          </w:tcPr>
          <w:p w14:paraId="41CE4E27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2298FCD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1" w:type="pct"/>
            <w:vAlign w:val="center"/>
          </w:tcPr>
          <w:p w14:paraId="6228B9AB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3" w:type="pct"/>
            <w:vAlign w:val="center"/>
          </w:tcPr>
          <w:p w14:paraId="4F67AEB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7" w:type="pct"/>
          </w:tcPr>
          <w:p w14:paraId="57A7456D" w14:textId="77777777" w:rsidR="00B5264F" w:rsidRPr="001D629D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471F4C5A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B5264F" w:rsidRPr="00613219" w14:paraId="05AE46CB" w14:textId="77777777" w:rsidTr="00E15B38">
        <w:trPr>
          <w:trHeight w:val="50"/>
          <w:jc w:val="center"/>
        </w:trPr>
        <w:tc>
          <w:tcPr>
            <w:tcW w:w="1145" w:type="pct"/>
            <w:vMerge/>
            <w:shd w:val="clear" w:color="auto" w:fill="92D050"/>
            <w:vAlign w:val="center"/>
          </w:tcPr>
          <w:p w14:paraId="013C996E" w14:textId="77777777" w:rsidR="00B5264F" w:rsidRPr="00613219" w:rsidRDefault="00B5264F" w:rsidP="00E15B38">
            <w:pPr>
              <w:jc w:val="both"/>
              <w:rPr>
                <w:b/>
              </w:rPr>
            </w:pPr>
          </w:p>
        </w:tc>
        <w:tc>
          <w:tcPr>
            <w:tcW w:w="207" w:type="pct"/>
            <w:shd w:val="clear" w:color="auto" w:fill="00B050"/>
            <w:vAlign w:val="center"/>
          </w:tcPr>
          <w:p w14:paraId="0CD6CE08" w14:textId="77777777" w:rsidR="00B5264F" w:rsidRPr="0090504D" w:rsidRDefault="00B5264F" w:rsidP="00E15B38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506" w:type="pct"/>
            <w:vAlign w:val="center"/>
          </w:tcPr>
          <w:p w14:paraId="27AABDCF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0" w:type="pct"/>
            <w:vAlign w:val="center"/>
          </w:tcPr>
          <w:p w14:paraId="5C407651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1" w:type="pct"/>
            <w:vAlign w:val="center"/>
          </w:tcPr>
          <w:p w14:paraId="3007E7E4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3" w:type="pct"/>
            <w:vAlign w:val="center"/>
          </w:tcPr>
          <w:p w14:paraId="3A57EB8C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7" w:type="pct"/>
          </w:tcPr>
          <w:p w14:paraId="59F42BE8" w14:textId="77777777" w:rsidR="00B5264F" w:rsidRPr="00977BE0" w:rsidRDefault="00B5264F" w:rsidP="00E15B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7453927" w14:textId="77777777" w:rsidR="00B5264F" w:rsidRPr="00315416" w:rsidRDefault="00B5264F" w:rsidP="00E15B3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5264F" w:rsidRPr="00613219" w14:paraId="494B3F9E" w14:textId="77777777" w:rsidTr="00E15B38">
        <w:trPr>
          <w:trHeight w:val="639"/>
          <w:jc w:val="center"/>
        </w:trPr>
        <w:tc>
          <w:tcPr>
            <w:tcW w:w="1352" w:type="pct"/>
            <w:gridSpan w:val="2"/>
            <w:shd w:val="clear" w:color="auto" w:fill="00B050"/>
            <w:vAlign w:val="center"/>
          </w:tcPr>
          <w:p w14:paraId="09DE8103" w14:textId="77777777" w:rsidR="00B5264F" w:rsidRPr="00462110" w:rsidRDefault="00B5264F" w:rsidP="00E15B38">
            <w:pPr>
              <w:jc w:val="center"/>
            </w:pPr>
            <w:r w:rsidRPr="00462110">
              <w:rPr>
                <w:b/>
              </w:rPr>
              <w:t>Итого баллов за критерий/модуль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38080A76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7861774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5E3E74A9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1D0E6817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4CBBF506" w14:textId="77777777" w:rsidR="00B5264F" w:rsidRPr="00315416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61B3C9A2" w14:textId="77777777" w:rsidR="00B5264F" w:rsidRPr="00613219" w:rsidRDefault="00B5264F" w:rsidP="00E15B3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B5264F" w:rsidRPr="009D04EE" w14:paraId="4998E5BA" w14:textId="77777777" w:rsidTr="00E15B38">
        <w:tc>
          <w:tcPr>
            <w:tcW w:w="1851" w:type="pct"/>
            <w:gridSpan w:val="2"/>
            <w:shd w:val="clear" w:color="auto" w:fill="92D050"/>
          </w:tcPr>
          <w:p w14:paraId="26AF218D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7A6EB2D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B5264F" w:rsidRPr="009D04EE" w14:paraId="374667E9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09B1FC3F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0C26B10A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Отвод делянки с составлением абриса и буссольного хода</w:t>
            </w:r>
          </w:p>
        </w:tc>
        <w:tc>
          <w:tcPr>
            <w:tcW w:w="3149" w:type="pct"/>
            <w:shd w:val="clear" w:color="auto" w:fill="auto"/>
          </w:tcPr>
          <w:p w14:paraId="4362904B" w14:textId="77777777" w:rsidR="00B5264F" w:rsidRPr="00833784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Оценивается использование конкурсантами СИЗ, правильность использования геодезических измерительных приборов и </w:t>
            </w:r>
            <w:r>
              <w:rPr>
                <w:sz w:val="24"/>
                <w:lang w:val="en-US"/>
              </w:rPr>
              <w:t>GPS</w:t>
            </w:r>
            <w:r>
              <w:rPr>
                <w:sz w:val="24"/>
              </w:rPr>
              <w:t xml:space="preserve"> – навигатора.</w:t>
            </w:r>
          </w:p>
        </w:tc>
      </w:tr>
      <w:tr w:rsidR="00B5264F" w:rsidRPr="009D04EE" w14:paraId="5AF192B7" w14:textId="77777777" w:rsidTr="00E15B38">
        <w:tc>
          <w:tcPr>
            <w:tcW w:w="282" w:type="pct"/>
            <w:vMerge/>
            <w:shd w:val="clear" w:color="auto" w:fill="00B050"/>
          </w:tcPr>
          <w:p w14:paraId="230D273E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</w:tcPr>
          <w:p w14:paraId="4AA747F2" w14:textId="77777777" w:rsidR="00B5264F" w:rsidRPr="00823A4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0E7FE143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умение работать в графическом редакторе.</w:t>
            </w:r>
          </w:p>
        </w:tc>
      </w:tr>
      <w:tr w:rsidR="00B5264F" w:rsidRPr="009D04EE" w14:paraId="24F0148A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00966C59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25C73B18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Таксация делянки</w:t>
            </w:r>
          </w:p>
        </w:tc>
        <w:tc>
          <w:tcPr>
            <w:tcW w:w="3149" w:type="pct"/>
            <w:shd w:val="clear" w:color="auto" w:fill="auto"/>
          </w:tcPr>
          <w:p w14:paraId="6732DA5D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 Правильность заполнения перечётной ведомости.</w:t>
            </w:r>
          </w:p>
        </w:tc>
      </w:tr>
      <w:tr w:rsidR="00B5264F" w:rsidRPr="009D04EE" w14:paraId="74BFAE69" w14:textId="77777777" w:rsidTr="00E15B38">
        <w:tc>
          <w:tcPr>
            <w:tcW w:w="282" w:type="pct"/>
            <w:vMerge/>
            <w:shd w:val="clear" w:color="auto" w:fill="00B050"/>
            <w:vAlign w:val="center"/>
          </w:tcPr>
          <w:p w14:paraId="2950BFC3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19D9563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41CD1C33" w14:textId="77777777" w:rsidR="00B5264F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Оценивается использование конкурсантом СИЗ, правильный выбор и использование таксационных приборов для определения таксационных показателей.</w:t>
            </w:r>
          </w:p>
        </w:tc>
      </w:tr>
      <w:tr w:rsidR="00B5264F" w:rsidRPr="009D04EE" w14:paraId="3F0A853D" w14:textId="77777777" w:rsidTr="00E15B38">
        <w:tc>
          <w:tcPr>
            <w:tcW w:w="282" w:type="pct"/>
            <w:shd w:val="clear" w:color="auto" w:fill="00B050"/>
            <w:vAlign w:val="center"/>
          </w:tcPr>
          <w:p w14:paraId="7892E2D5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6150CC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материальной оценки </w:t>
            </w:r>
          </w:p>
        </w:tc>
        <w:tc>
          <w:tcPr>
            <w:tcW w:w="3149" w:type="pct"/>
            <w:shd w:val="clear" w:color="auto" w:fill="auto"/>
          </w:tcPr>
          <w:p w14:paraId="6097EA75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правильность и полнота заполнения бланка материально-</w:t>
            </w:r>
            <w:r>
              <w:rPr>
                <w:sz w:val="24"/>
              </w:rPr>
              <w:lastRenderedPageBreak/>
              <w:t>денежной оценки.</w:t>
            </w:r>
          </w:p>
        </w:tc>
      </w:tr>
      <w:tr w:rsidR="00B5264F" w:rsidRPr="009D04EE" w14:paraId="1B00F589" w14:textId="77777777" w:rsidTr="00E15B38">
        <w:tc>
          <w:tcPr>
            <w:tcW w:w="282" w:type="pct"/>
            <w:vMerge w:val="restart"/>
            <w:shd w:val="clear" w:color="auto" w:fill="00B050"/>
            <w:vAlign w:val="center"/>
          </w:tcPr>
          <w:p w14:paraId="11A63CDF" w14:textId="77777777" w:rsidR="00B5264F" w:rsidRPr="00437D28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vMerge w:val="restart"/>
            <w:shd w:val="clear" w:color="auto" w:fill="92D050"/>
            <w:vAlign w:val="center"/>
          </w:tcPr>
          <w:p w14:paraId="3179E3F8" w14:textId="77777777" w:rsidR="00B5264F" w:rsidRPr="00136397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Отвод пробной площади</w:t>
            </w:r>
          </w:p>
        </w:tc>
        <w:tc>
          <w:tcPr>
            <w:tcW w:w="3149" w:type="pct"/>
            <w:shd w:val="clear" w:color="auto" w:fill="auto"/>
          </w:tcPr>
          <w:p w14:paraId="2C2B7A56" w14:textId="77777777" w:rsidR="00B5264F" w:rsidRPr="009E37D8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конкурсантами СИЗ, правильность использования геодезических измерительных приборов.</w:t>
            </w:r>
          </w:p>
        </w:tc>
      </w:tr>
      <w:tr w:rsidR="00B5264F" w:rsidRPr="009D04EE" w14:paraId="2A243104" w14:textId="77777777" w:rsidTr="00E15B38">
        <w:tc>
          <w:tcPr>
            <w:tcW w:w="282" w:type="pct"/>
            <w:vMerge/>
            <w:shd w:val="clear" w:color="auto" w:fill="00B050"/>
            <w:vAlign w:val="center"/>
          </w:tcPr>
          <w:p w14:paraId="0ED83667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69" w:type="pct"/>
            <w:vMerge/>
            <w:shd w:val="clear" w:color="auto" w:fill="92D050"/>
            <w:vAlign w:val="center"/>
          </w:tcPr>
          <w:p w14:paraId="17ABD8A6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36A319DE" w14:textId="77777777" w:rsidR="00B5264F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Оценивается использование конкурсантами СИЗ, правильный выбор и использование таксационных приборов для определения таксационных показателей. </w:t>
            </w:r>
          </w:p>
        </w:tc>
      </w:tr>
      <w:tr w:rsidR="00B5264F" w:rsidRPr="009D04EE" w14:paraId="23FDDF93" w14:textId="77777777" w:rsidTr="00E15B38">
        <w:tc>
          <w:tcPr>
            <w:tcW w:w="282" w:type="pct"/>
            <w:shd w:val="clear" w:color="auto" w:fill="00B050"/>
            <w:vAlign w:val="center"/>
          </w:tcPr>
          <w:p w14:paraId="49793859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A739CA0" w14:textId="77777777" w:rsidR="00B5264F" w:rsidRDefault="00B5264F" w:rsidP="00E15B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подроста</w:t>
            </w:r>
          </w:p>
        </w:tc>
        <w:tc>
          <w:tcPr>
            <w:tcW w:w="3149" w:type="pct"/>
            <w:shd w:val="clear" w:color="auto" w:fill="auto"/>
          </w:tcPr>
          <w:p w14:paraId="504C8E59" w14:textId="77777777" w:rsidR="00B5264F" w:rsidRPr="00977BE0" w:rsidRDefault="00B5264F" w:rsidP="00E1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Оценивается использование конкурсантом СИЗ, правильность определения породы подроста с распределением по категориям крупности.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F5E686F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BF1586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5264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76FB7560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6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5264F" w:rsidRPr="00B52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EC1B7" w14:textId="77777777" w:rsidR="00B5264F" w:rsidRPr="00C97E44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D71B0">
        <w:rPr>
          <w:rFonts w:ascii="Times New Roman" w:hAnsi="Times New Roman" w:cs="Times New Roman"/>
          <w:b/>
          <w:sz w:val="28"/>
          <w:szCs w:val="28"/>
        </w:rPr>
        <w:t>Отвод делянки с составлением абриса и буссольного хода</w:t>
      </w:r>
      <w:r w:rsidRPr="006D7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(инвариант). </w:t>
      </w:r>
    </w:p>
    <w:p w14:paraId="4FFA7C32" w14:textId="77777777" w:rsidR="00B5264F" w:rsidRPr="00C97E44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5D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часа.</w:t>
      </w:r>
    </w:p>
    <w:p w14:paraId="577B6799" w14:textId="77777777" w:rsidR="00B5264F" w:rsidRPr="009F5306" w:rsidRDefault="00B5264F" w:rsidP="00B5264F">
      <w:pPr>
        <w:pStyle w:val="aff1"/>
        <w:spacing w:after="0" w:line="240" w:lineRule="auto"/>
        <w:ind w:left="356" w:firstLine="353"/>
        <w:rPr>
          <w:rFonts w:ascii="Times New Roman" w:eastAsia="Arial Unicode MS" w:hAnsi="Times New Roman"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</w:p>
    <w:p w14:paraId="344245D4" w14:textId="77777777" w:rsidR="00B5264F" w:rsidRPr="009F5306" w:rsidRDefault="00B5264F" w:rsidP="00B5264F">
      <w:pPr>
        <w:spacing w:after="0" w:line="240" w:lineRule="auto"/>
        <w:ind w:left="356" w:firstLine="35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 w:rsidRPr="00F271C5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9F5306">
        <w:rPr>
          <w:rFonts w:ascii="Times New Roman" w:eastAsia="Times New Roman" w:hAnsi="Times New Roman"/>
          <w:b/>
          <w:bCs/>
          <w:sz w:val="28"/>
          <w:szCs w:val="28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Проведение геодезических измерений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6D7DA969" w14:textId="77777777" w:rsidR="00B5264F" w:rsidRPr="006D71B0" w:rsidRDefault="00B5264F" w:rsidP="00B5264F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b w:val="0"/>
          <w:i/>
          <w:szCs w:val="28"/>
          <w:lang w:val="ru-RU"/>
        </w:rPr>
      </w:pPr>
      <w:r w:rsidRPr="00BE3400">
        <w:rPr>
          <w:rFonts w:ascii="Times New Roman" w:hAnsi="Times New Roman"/>
          <w:b w:val="0"/>
          <w:szCs w:val="28"/>
          <w:lang w:val="ru-RU"/>
        </w:rPr>
        <w:t xml:space="preserve">Участники (команда участников) проводят геодезическую съемку участка местности (делянки) с промером длин и </w:t>
      </w:r>
      <w:r>
        <w:rPr>
          <w:rFonts w:ascii="Times New Roman" w:hAnsi="Times New Roman"/>
          <w:b w:val="0"/>
          <w:szCs w:val="28"/>
          <w:lang w:val="ru-RU"/>
        </w:rPr>
        <w:t xml:space="preserve">определением </w:t>
      </w:r>
      <w:r w:rsidRPr="00BE3400">
        <w:rPr>
          <w:rFonts w:ascii="Times New Roman" w:hAnsi="Times New Roman"/>
          <w:b w:val="0"/>
          <w:szCs w:val="28"/>
          <w:lang w:val="ru-RU"/>
        </w:rPr>
        <w:t xml:space="preserve">румбов. </w:t>
      </w:r>
      <w:r w:rsidRPr="006D71B0">
        <w:rPr>
          <w:rFonts w:ascii="Times New Roman" w:eastAsia="Arial Unicode MS" w:hAnsi="Times New Roman"/>
          <w:color w:val="000000"/>
          <w:szCs w:val="28"/>
          <w:lang w:val="ru-RU"/>
        </w:rPr>
        <w:t xml:space="preserve"> </w:t>
      </w:r>
    </w:p>
    <w:p w14:paraId="08D9015B" w14:textId="77777777" w:rsidR="00B5264F" w:rsidRPr="009F5306" w:rsidRDefault="00B5264F" w:rsidP="00B5264F">
      <w:pPr>
        <w:spacing w:after="0" w:line="240" w:lineRule="auto"/>
        <w:ind w:left="-4" w:firstLine="713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 окончании времени секундомер останавливается.  </w:t>
      </w:r>
    </w:p>
    <w:p w14:paraId="0815BC3B" w14:textId="77777777" w:rsidR="00B5264F" w:rsidRPr="009F5306" w:rsidRDefault="00B5264F" w:rsidP="00B5264F">
      <w:pPr>
        <w:spacing w:after="0" w:line="240" w:lineRule="auto"/>
        <w:ind w:left="-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44E2D171" w14:textId="77777777" w:rsidR="00B5264F" w:rsidRPr="009F5306" w:rsidRDefault="00B5264F" w:rsidP="00B5264F">
      <w:pPr>
        <w:spacing w:after="0" w:line="240" w:lineRule="auto"/>
        <w:ind w:left="426" w:firstLine="283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color w:val="000000"/>
          <w:sz w:val="28"/>
          <w:szCs w:val="28"/>
        </w:rPr>
        <w:t>А2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. 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Составление абриса с буссольным ходом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».</w:t>
      </w:r>
    </w:p>
    <w:p w14:paraId="4C89A3C2" w14:textId="4DDE73E6" w:rsidR="00B5264F" w:rsidRPr="00BE3400" w:rsidRDefault="00B5264F" w:rsidP="00B5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 xml:space="preserve">Участники (команда участников) </w:t>
      </w:r>
      <w:r w:rsidR="00102B5E">
        <w:rPr>
          <w:rFonts w:ascii="Times New Roman" w:hAnsi="Times New Roman"/>
          <w:sz w:val="28"/>
          <w:szCs w:val="28"/>
        </w:rPr>
        <w:t xml:space="preserve">с помощью программы «Аверс» </w:t>
      </w:r>
      <w:r>
        <w:rPr>
          <w:rFonts w:ascii="Times New Roman" w:hAnsi="Times New Roman"/>
          <w:sz w:val="28"/>
          <w:szCs w:val="28"/>
        </w:rPr>
        <w:t>составляют</w:t>
      </w:r>
      <w:r w:rsidRPr="00BE3400">
        <w:rPr>
          <w:rFonts w:ascii="Times New Roman" w:hAnsi="Times New Roman"/>
          <w:sz w:val="28"/>
          <w:szCs w:val="28"/>
        </w:rPr>
        <w:t xml:space="preserve"> абрис участка местности (делянки)</w:t>
      </w:r>
      <w:r>
        <w:rPr>
          <w:rFonts w:ascii="Times New Roman" w:hAnsi="Times New Roman"/>
          <w:sz w:val="28"/>
          <w:szCs w:val="28"/>
        </w:rPr>
        <w:t>,</w:t>
      </w:r>
      <w:r w:rsidRPr="00BE3400">
        <w:rPr>
          <w:rFonts w:ascii="Times New Roman" w:hAnsi="Times New Roman"/>
          <w:sz w:val="28"/>
          <w:szCs w:val="28"/>
        </w:rPr>
        <w:t xml:space="preserve"> ориентирован</w:t>
      </w:r>
      <w:r>
        <w:rPr>
          <w:rFonts w:ascii="Times New Roman" w:hAnsi="Times New Roman"/>
          <w:sz w:val="28"/>
          <w:szCs w:val="28"/>
        </w:rPr>
        <w:t>ным в соответствии по направлению С-Ю,</w:t>
      </w:r>
      <w:r w:rsidRPr="00BE3400">
        <w:rPr>
          <w:rFonts w:ascii="Times New Roman" w:hAnsi="Times New Roman"/>
          <w:sz w:val="28"/>
          <w:szCs w:val="28"/>
        </w:rPr>
        <w:t xml:space="preserve"> с указанием размера </w:t>
      </w:r>
      <w:r>
        <w:rPr>
          <w:rFonts w:ascii="Times New Roman" w:hAnsi="Times New Roman"/>
          <w:sz w:val="28"/>
          <w:szCs w:val="28"/>
        </w:rPr>
        <w:t>данного участка местности (делянки) и буссольного хода.</w:t>
      </w:r>
    </w:p>
    <w:p w14:paraId="575C1CCC" w14:textId="77777777" w:rsidR="00B5264F" w:rsidRPr="009F5306" w:rsidRDefault="00B5264F" w:rsidP="00B5264F">
      <w:pPr>
        <w:spacing w:line="240" w:lineRule="auto"/>
        <w:ind w:left="-4" w:firstLine="713"/>
        <w:rPr>
          <w:rFonts w:ascii="Times New Roman" w:eastAsia="Arial Unicode MS" w:hAnsi="Times New Roman" w:cs="Times New Roman"/>
          <w:color w:val="FF0000"/>
          <w:sz w:val="28"/>
          <w:szCs w:val="28"/>
        </w:rPr>
      </w:pPr>
      <w:r w:rsidRPr="009F5306">
        <w:rPr>
          <w:rFonts w:ascii="Times New Roman" w:eastAsia="Arial Unicode MS" w:hAnsi="Times New Roman" w:cs="Times New Roman"/>
          <w:color w:val="000000"/>
          <w:sz w:val="28"/>
          <w:szCs w:val="28"/>
        </w:rPr>
        <w:t>По окончании времени секундомер останавливается.</w:t>
      </w:r>
    </w:p>
    <w:p w14:paraId="03C9975A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C017FB" w14:textId="77777777" w:rsidR="00B5264F" w:rsidRPr="009F5306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Таксация делянки (инвариант).</w:t>
      </w:r>
    </w:p>
    <w:p w14:paraId="4F64F28A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 w:rsidRPr="00E53D5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6EB989B9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E56622" w14:textId="77777777" w:rsidR="00B5264F" w:rsidRPr="009F5306" w:rsidRDefault="00B5264F" w:rsidP="00B5264F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Проведение сплошного перечета деревьев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218BFDCC" w14:textId="1F4F1001" w:rsidR="00B5264F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>Участн</w:t>
      </w:r>
      <w:r w:rsidR="00102B5E">
        <w:rPr>
          <w:rFonts w:ascii="Times New Roman" w:hAnsi="Times New Roman"/>
          <w:sz w:val="28"/>
          <w:szCs w:val="28"/>
        </w:rPr>
        <w:t>ики (команда участников) проводя</w:t>
      </w:r>
      <w:r w:rsidRPr="00BE3400">
        <w:rPr>
          <w:rFonts w:ascii="Times New Roman" w:hAnsi="Times New Roman"/>
          <w:sz w:val="28"/>
          <w:szCs w:val="28"/>
        </w:rPr>
        <w:t xml:space="preserve">т сплошной перечет деревьев на участке местности (делянке) с распределением деревьев по </w:t>
      </w:r>
      <w:r>
        <w:rPr>
          <w:rFonts w:ascii="Times New Roman" w:hAnsi="Times New Roman"/>
          <w:sz w:val="28"/>
          <w:szCs w:val="28"/>
        </w:rPr>
        <w:t>ступеням толщины</w:t>
      </w:r>
      <w:r w:rsidR="00274254">
        <w:rPr>
          <w:rFonts w:ascii="Times New Roman" w:hAnsi="Times New Roman"/>
          <w:sz w:val="28"/>
          <w:szCs w:val="28"/>
        </w:rPr>
        <w:t xml:space="preserve"> и качественным категориям древесных стволов с нанесением меток учтенных деревьев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Составляют перечетную ведомость.</w:t>
      </w:r>
      <w:r w:rsidRPr="009F53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942D9D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59A6A3D8" w14:textId="77777777" w:rsidR="00B5264F" w:rsidRDefault="00B5264F" w:rsidP="00B5264F">
      <w:pPr>
        <w:spacing w:after="0"/>
        <w:ind w:left="442" w:firstLine="267"/>
        <w:jc w:val="both"/>
        <w:rPr>
          <w:rFonts w:ascii="Times New Roman" w:hAnsi="Times New Roman"/>
          <w:b/>
          <w:sz w:val="28"/>
          <w:szCs w:val="28"/>
        </w:rPr>
      </w:pPr>
    </w:p>
    <w:p w14:paraId="68E87E11" w14:textId="77777777" w:rsidR="00B5264F" w:rsidRPr="009F5306" w:rsidRDefault="00B5264F" w:rsidP="00B5264F">
      <w:pPr>
        <w:spacing w:after="0"/>
        <w:ind w:left="442" w:firstLine="2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Б2</w:t>
      </w:r>
      <w:r w:rsidRPr="009F5306">
        <w:rPr>
          <w:rFonts w:ascii="Times New Roman" w:hAnsi="Times New Roman"/>
          <w:b/>
          <w:sz w:val="28"/>
          <w:szCs w:val="28"/>
        </w:rPr>
        <w:t>.</w:t>
      </w:r>
      <w:r w:rsidRPr="009F5306">
        <w:rPr>
          <w:rFonts w:ascii="Times New Roman" w:hAnsi="Times New Roman"/>
          <w:sz w:val="28"/>
          <w:szCs w:val="28"/>
        </w:rPr>
        <w:t xml:space="preserve"> </w:t>
      </w:r>
      <w:r w:rsidRPr="009F53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Определение средней высоты древостоя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3A3941E5" w14:textId="1042EEF6" w:rsidR="00B5264F" w:rsidRDefault="00B5264F" w:rsidP="00B5264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3400">
        <w:rPr>
          <w:rFonts w:ascii="Times New Roman" w:hAnsi="Times New Roman"/>
          <w:sz w:val="28"/>
          <w:szCs w:val="28"/>
        </w:rPr>
        <w:t>Участник</w:t>
      </w:r>
      <w:r>
        <w:rPr>
          <w:rFonts w:ascii="Times New Roman" w:hAnsi="Times New Roman"/>
          <w:sz w:val="28"/>
          <w:szCs w:val="28"/>
        </w:rPr>
        <w:t>и</w:t>
      </w:r>
      <w:r w:rsidRPr="00BE3400">
        <w:rPr>
          <w:rFonts w:ascii="Times New Roman" w:hAnsi="Times New Roman"/>
          <w:sz w:val="28"/>
          <w:szCs w:val="28"/>
        </w:rPr>
        <w:t xml:space="preserve"> (команда участников) </w:t>
      </w:r>
      <w:r>
        <w:rPr>
          <w:rFonts w:ascii="Times New Roman" w:hAnsi="Times New Roman"/>
          <w:sz w:val="28"/>
          <w:szCs w:val="28"/>
        </w:rPr>
        <w:t xml:space="preserve">в соответствии с перечетной ведомостью </w:t>
      </w:r>
      <w:r w:rsidRPr="00BE3400">
        <w:rPr>
          <w:rFonts w:ascii="Times New Roman" w:hAnsi="Times New Roman"/>
          <w:sz w:val="28"/>
          <w:szCs w:val="28"/>
        </w:rPr>
        <w:t>определя</w:t>
      </w:r>
      <w:r>
        <w:rPr>
          <w:rFonts w:ascii="Times New Roman" w:hAnsi="Times New Roman"/>
          <w:sz w:val="28"/>
          <w:szCs w:val="28"/>
        </w:rPr>
        <w:t xml:space="preserve">ют </w:t>
      </w:r>
      <w:r w:rsidRPr="00BE3400">
        <w:rPr>
          <w:rFonts w:ascii="Times New Roman" w:hAnsi="Times New Roman"/>
          <w:sz w:val="28"/>
          <w:szCs w:val="28"/>
        </w:rPr>
        <w:t>среднее значение высоты древостоя</w:t>
      </w:r>
      <w:r>
        <w:rPr>
          <w:rFonts w:ascii="Times New Roman" w:hAnsi="Times New Roman"/>
          <w:sz w:val="28"/>
          <w:szCs w:val="28"/>
        </w:rPr>
        <w:t xml:space="preserve"> по каждой </w:t>
      </w:r>
      <w:r w:rsidR="00274254">
        <w:rPr>
          <w:rFonts w:ascii="Times New Roman" w:hAnsi="Times New Roman"/>
          <w:sz w:val="28"/>
          <w:szCs w:val="28"/>
        </w:rPr>
        <w:t xml:space="preserve">породе и трем центральным </w:t>
      </w:r>
      <w:r>
        <w:rPr>
          <w:rFonts w:ascii="Times New Roman" w:hAnsi="Times New Roman"/>
          <w:sz w:val="28"/>
          <w:szCs w:val="28"/>
        </w:rPr>
        <w:t>ступен</w:t>
      </w:r>
      <w:r w:rsidR="00274254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толщины</w:t>
      </w:r>
      <w:r w:rsidR="00274254">
        <w:rPr>
          <w:rFonts w:ascii="Times New Roman" w:hAnsi="Times New Roman"/>
          <w:sz w:val="28"/>
          <w:szCs w:val="28"/>
        </w:rPr>
        <w:t xml:space="preserve"> с отметкой модельных деревьев</w:t>
      </w:r>
      <w:r w:rsidRPr="00BE340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A1C15D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7583D816" w14:textId="77777777" w:rsidR="00B5264F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5B2E2" w14:textId="77777777" w:rsidR="00B5264F" w:rsidRPr="009F5306" w:rsidRDefault="00B5264F" w:rsidP="00B5264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Составление материальной оценки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(инвариант).</w:t>
      </w:r>
    </w:p>
    <w:p w14:paraId="1BAC81B6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43F8F563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0EAC1BD" w14:textId="77777777" w:rsidR="00B5264F" w:rsidRPr="009F5306" w:rsidRDefault="00B5264F" w:rsidP="00B5264F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В1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Составление материально-денежной оценки</w:t>
      </w:r>
      <w:r w:rsidRPr="009F5306">
        <w:rPr>
          <w:rFonts w:ascii="Times New Roman" w:hAnsi="Times New Roman"/>
          <w:b/>
          <w:sz w:val="28"/>
          <w:szCs w:val="28"/>
        </w:rPr>
        <w:t>».</w:t>
      </w:r>
    </w:p>
    <w:p w14:paraId="38751A90" w14:textId="6D2A3D1B" w:rsidR="00274254" w:rsidRDefault="00B5264F" w:rsidP="00B5264F">
      <w:pPr>
        <w:spacing w:after="0"/>
        <w:ind w:left="-4" w:firstLine="713"/>
        <w:jc w:val="both"/>
        <w:rPr>
          <w:rFonts w:ascii="Times New Roman" w:hAnsi="Times New Roman"/>
          <w:sz w:val="28"/>
          <w:szCs w:val="28"/>
        </w:rPr>
      </w:pPr>
      <w:r w:rsidRPr="00B73EA8">
        <w:rPr>
          <w:rFonts w:ascii="Times New Roman" w:hAnsi="Times New Roman"/>
          <w:sz w:val="28"/>
          <w:szCs w:val="28"/>
        </w:rPr>
        <w:t xml:space="preserve">Участники (команда участников) </w:t>
      </w:r>
      <w:r w:rsidR="00102B5E">
        <w:rPr>
          <w:rFonts w:ascii="Times New Roman" w:hAnsi="Times New Roman"/>
          <w:sz w:val="28"/>
          <w:szCs w:val="28"/>
        </w:rPr>
        <w:t xml:space="preserve">вручную </w:t>
      </w:r>
      <w:r w:rsidRPr="00B73EA8">
        <w:rPr>
          <w:rFonts w:ascii="Times New Roman" w:hAnsi="Times New Roman"/>
          <w:sz w:val="28"/>
          <w:szCs w:val="28"/>
        </w:rPr>
        <w:t>составля</w:t>
      </w:r>
      <w:r w:rsidR="00102B5E">
        <w:rPr>
          <w:rFonts w:ascii="Times New Roman" w:hAnsi="Times New Roman"/>
          <w:sz w:val="28"/>
          <w:szCs w:val="28"/>
        </w:rPr>
        <w:t>ю</w:t>
      </w:r>
      <w:r w:rsidRPr="00B73EA8">
        <w:rPr>
          <w:rFonts w:ascii="Times New Roman" w:hAnsi="Times New Roman"/>
          <w:sz w:val="28"/>
          <w:szCs w:val="28"/>
        </w:rPr>
        <w:t xml:space="preserve">т материально-денежную оценку лесосеки (делянки) </w:t>
      </w:r>
      <w:r w:rsidR="007B5BE2" w:rsidRPr="0042286F">
        <w:rPr>
          <w:rFonts w:ascii="Times New Roman" w:hAnsi="Times New Roman"/>
          <w:sz w:val="28"/>
          <w:szCs w:val="28"/>
        </w:rPr>
        <w:t xml:space="preserve">для  </w:t>
      </w:r>
      <w:r w:rsidR="009810B9">
        <w:rPr>
          <w:rFonts w:ascii="Times New Roman" w:hAnsi="Times New Roman"/>
          <w:sz w:val="28"/>
          <w:szCs w:val="28"/>
        </w:rPr>
        <w:t>преобладающей породы</w:t>
      </w:r>
      <w:r w:rsidR="007B5BE2" w:rsidRPr="0042286F">
        <w:rPr>
          <w:rFonts w:ascii="Times New Roman" w:hAnsi="Times New Roman"/>
          <w:sz w:val="28"/>
          <w:szCs w:val="28"/>
        </w:rPr>
        <w:t xml:space="preserve"> </w:t>
      </w:r>
      <w:r w:rsidRPr="0042286F">
        <w:rPr>
          <w:rFonts w:ascii="Times New Roman" w:hAnsi="Times New Roman"/>
          <w:sz w:val="28"/>
          <w:szCs w:val="28"/>
        </w:rPr>
        <w:t>с</w:t>
      </w:r>
      <w:r w:rsidRPr="00B73EA8">
        <w:rPr>
          <w:rFonts w:ascii="Times New Roman" w:hAnsi="Times New Roman"/>
          <w:sz w:val="28"/>
          <w:szCs w:val="28"/>
        </w:rPr>
        <w:t xml:space="preserve"> использованием лесотаксационных таблиц</w:t>
      </w:r>
      <w:r w:rsidR="00274254">
        <w:rPr>
          <w:rFonts w:ascii="Times New Roman" w:hAnsi="Times New Roman"/>
          <w:sz w:val="28"/>
          <w:szCs w:val="28"/>
        </w:rPr>
        <w:t xml:space="preserve"> (шкала разрядов высот, объемными</w:t>
      </w:r>
      <w:r w:rsidR="008B6413">
        <w:rPr>
          <w:rFonts w:ascii="Times New Roman" w:hAnsi="Times New Roman"/>
          <w:sz w:val="28"/>
          <w:szCs w:val="28"/>
        </w:rPr>
        <w:t>,</w:t>
      </w:r>
      <w:r w:rsidR="00274254">
        <w:rPr>
          <w:rFonts w:ascii="Times New Roman" w:hAnsi="Times New Roman"/>
          <w:sz w:val="28"/>
          <w:szCs w:val="28"/>
        </w:rPr>
        <w:t xml:space="preserve"> разрядными, сортиментными, ставки платы за единицу объема древесины)</w:t>
      </w:r>
      <w:r w:rsidRPr="00B73EA8">
        <w:rPr>
          <w:rFonts w:ascii="Times New Roman" w:hAnsi="Times New Roman"/>
          <w:sz w:val="28"/>
          <w:szCs w:val="28"/>
        </w:rPr>
        <w:t>.</w:t>
      </w:r>
      <w:r w:rsidR="00274254">
        <w:rPr>
          <w:rFonts w:ascii="Times New Roman" w:hAnsi="Times New Roman"/>
          <w:sz w:val="28"/>
          <w:szCs w:val="28"/>
        </w:rPr>
        <w:t xml:space="preserve"> </w:t>
      </w:r>
    </w:p>
    <w:p w14:paraId="09174349" w14:textId="1A785C67" w:rsidR="00B5264F" w:rsidRDefault="00274254" w:rsidP="00B5264F">
      <w:pPr>
        <w:spacing w:after="0"/>
        <w:ind w:left="-4" w:firstLine="713"/>
        <w:jc w:val="both"/>
        <w:rPr>
          <w:rFonts w:ascii="Times New Roman" w:hAnsi="Times New Roman"/>
          <w:sz w:val="28"/>
          <w:szCs w:val="28"/>
        </w:rPr>
      </w:pPr>
      <w:r w:rsidRPr="00B73EA8">
        <w:rPr>
          <w:rFonts w:ascii="Times New Roman" w:hAnsi="Times New Roman"/>
          <w:sz w:val="28"/>
          <w:szCs w:val="28"/>
        </w:rPr>
        <w:t>Участники (команда участников)</w:t>
      </w:r>
      <w:r>
        <w:rPr>
          <w:rFonts w:ascii="Times New Roman" w:hAnsi="Times New Roman"/>
          <w:sz w:val="28"/>
          <w:szCs w:val="28"/>
        </w:rPr>
        <w:t xml:space="preserve"> с помощью программы «Аверс» состав</w:t>
      </w:r>
      <w:r w:rsidR="00A35883">
        <w:rPr>
          <w:rFonts w:ascii="Times New Roman" w:hAnsi="Times New Roman"/>
          <w:sz w:val="28"/>
          <w:szCs w:val="28"/>
        </w:rPr>
        <w:t>ляют материально-денежную оценку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42286F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второстепенн</w:t>
      </w:r>
      <w:r w:rsidR="0042286F">
        <w:rPr>
          <w:rFonts w:ascii="Times New Roman" w:hAnsi="Times New Roman"/>
          <w:sz w:val="28"/>
          <w:szCs w:val="28"/>
        </w:rPr>
        <w:t>ых пород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C7CEFE8" w14:textId="77777777" w:rsidR="00B5264F" w:rsidRPr="009F5306" w:rsidRDefault="00B5264F" w:rsidP="00B5264F">
      <w:pPr>
        <w:spacing w:after="0"/>
        <w:ind w:left="-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400C6D73" w14:textId="77777777" w:rsidR="00B5264F" w:rsidRDefault="00B5264F" w:rsidP="00B5264F">
      <w:pPr>
        <w:spacing w:after="0"/>
        <w:ind w:left="446" w:firstLine="263"/>
        <w:rPr>
          <w:rFonts w:ascii="Times New Roman" w:hAnsi="Times New Roman"/>
          <w:b/>
          <w:sz w:val="28"/>
          <w:szCs w:val="28"/>
        </w:rPr>
      </w:pPr>
    </w:p>
    <w:p w14:paraId="37CFAA45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Отвод пробной площади (инвариант)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34C3FC92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DBD4F45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296E8ED" w14:textId="77777777" w:rsidR="00B5264F" w:rsidRPr="009F5306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Г1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Проведение геодезических измерений</w:t>
      </w:r>
      <w:r w:rsidRPr="009F5306">
        <w:rPr>
          <w:rFonts w:ascii="Times New Roman" w:hAnsi="Times New Roman"/>
          <w:b/>
          <w:sz w:val="28"/>
          <w:szCs w:val="28"/>
        </w:rPr>
        <w:t>»</w:t>
      </w:r>
    </w:p>
    <w:p w14:paraId="3272A44A" w14:textId="7DE4D768" w:rsidR="00B5264F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</w:t>
      </w:r>
      <w:r w:rsidR="00102B5E">
        <w:rPr>
          <w:rFonts w:ascii="Times New Roman" w:hAnsi="Times New Roman"/>
          <w:sz w:val="28"/>
          <w:szCs w:val="28"/>
        </w:rPr>
        <w:t>и (команда участников) производя</w:t>
      </w:r>
      <w:r>
        <w:rPr>
          <w:rFonts w:ascii="Times New Roman" w:hAnsi="Times New Roman"/>
          <w:sz w:val="28"/>
          <w:szCs w:val="28"/>
        </w:rPr>
        <w:t>т отвод пробной площади с закреплением данного участка на местности.</w:t>
      </w:r>
    </w:p>
    <w:p w14:paraId="73157CB4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1A5DECB8" w14:textId="77777777" w:rsidR="00B5264F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</w:p>
    <w:p w14:paraId="204F14E7" w14:textId="77777777" w:rsidR="00B5264F" w:rsidRPr="009F5306" w:rsidRDefault="00B5264F" w:rsidP="00B5264F">
      <w:pPr>
        <w:spacing w:after="0"/>
        <w:ind w:left="450" w:firstLine="25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Г2</w:t>
      </w:r>
      <w:r w:rsidRPr="009F5306">
        <w:rPr>
          <w:rFonts w:ascii="Times New Roman" w:hAnsi="Times New Roman"/>
          <w:b/>
          <w:sz w:val="28"/>
          <w:szCs w:val="28"/>
        </w:rPr>
        <w:t>. «</w:t>
      </w:r>
      <w:r>
        <w:rPr>
          <w:rFonts w:ascii="Times New Roman" w:hAnsi="Times New Roman"/>
          <w:b/>
          <w:sz w:val="28"/>
          <w:szCs w:val="28"/>
        </w:rPr>
        <w:t>Определение таксационных показателей</w:t>
      </w:r>
      <w:r w:rsidRPr="009F5306">
        <w:rPr>
          <w:rFonts w:ascii="Times New Roman" w:hAnsi="Times New Roman"/>
          <w:b/>
          <w:sz w:val="28"/>
          <w:szCs w:val="28"/>
        </w:rPr>
        <w:t>»</w:t>
      </w:r>
    </w:p>
    <w:p w14:paraId="14E1B564" w14:textId="5CD6E5C6" w:rsidR="00B5264F" w:rsidRDefault="00B5264F" w:rsidP="00B5264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(команда участников) определяют таксационные показатели на отведенной ими пробной площади</w:t>
      </w:r>
      <w:r w:rsidR="00A35883">
        <w:rPr>
          <w:rFonts w:ascii="Times New Roman" w:hAnsi="Times New Roman"/>
          <w:sz w:val="28"/>
          <w:szCs w:val="28"/>
        </w:rPr>
        <w:t xml:space="preserve"> (средней высоты и диаметра, возраста, бонитета, относительной полноты, породного состава)</w:t>
      </w:r>
      <w:r>
        <w:rPr>
          <w:rFonts w:ascii="Times New Roman" w:hAnsi="Times New Roman"/>
          <w:sz w:val="28"/>
          <w:szCs w:val="28"/>
        </w:rPr>
        <w:t>.</w:t>
      </w:r>
    </w:p>
    <w:p w14:paraId="31F87E24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250C097D" w14:textId="77777777" w:rsidR="00B5264F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D4D527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Учет подроста (вариатив)</w:t>
      </w:r>
      <w:r w:rsidRPr="009F53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550223B7" w14:textId="77777777" w:rsidR="00B5264F" w:rsidRPr="009F5306" w:rsidRDefault="00B5264F" w:rsidP="00B5264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4E21088F" w14:textId="77777777" w:rsidR="00B5264F" w:rsidRPr="009F5306" w:rsidRDefault="00B5264F" w:rsidP="00B5264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F530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9F5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452310F" w14:textId="77777777" w:rsidR="00B5264F" w:rsidRPr="009F5306" w:rsidRDefault="00B5264F" w:rsidP="00B5264F">
      <w:pPr>
        <w:spacing w:after="0" w:line="240" w:lineRule="auto"/>
        <w:ind w:left="450" w:firstLine="259"/>
        <w:rPr>
          <w:rFonts w:ascii="Times New Roman" w:eastAsia="Arial Unicode MS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Д1</w:t>
      </w:r>
      <w:r w:rsidRPr="009F53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Arial Unicode MS" w:hAnsi="Times New Roman"/>
          <w:b/>
          <w:color w:val="000000"/>
          <w:sz w:val="28"/>
          <w:szCs w:val="28"/>
        </w:rPr>
        <w:t>Учет подроста</w:t>
      </w:r>
      <w:r w:rsidRPr="009F5306">
        <w:rPr>
          <w:rFonts w:ascii="Times New Roman" w:eastAsia="Arial Unicode MS" w:hAnsi="Times New Roman"/>
          <w:b/>
          <w:color w:val="000000"/>
          <w:sz w:val="28"/>
          <w:szCs w:val="28"/>
        </w:rPr>
        <w:t>»</w:t>
      </w:r>
    </w:p>
    <w:p w14:paraId="403107DB" w14:textId="664240C4" w:rsidR="00B5264F" w:rsidRDefault="00B5264F" w:rsidP="00B5264F">
      <w:pPr>
        <w:spacing w:after="0" w:line="276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Участники (команда участников) в соответствии с требованиями закладывает пробные площадки</w:t>
      </w:r>
      <w:r w:rsidR="00A3588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которых ведут учет жизнеспособного подроста</w:t>
      </w:r>
      <w:r w:rsidR="00A3588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 единице площади с переводом на 1 гектар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 распределение</w:t>
      </w:r>
      <w:r w:rsidR="00A35883">
        <w:rPr>
          <w:rFonts w:ascii="Times New Roman" w:eastAsia="Arial Unicode MS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категориям крупности и заполняют перечетную ведомость подроста.</w:t>
      </w:r>
    </w:p>
    <w:p w14:paraId="34073C9E" w14:textId="77777777" w:rsidR="00B5264F" w:rsidRPr="009F5306" w:rsidRDefault="00B5264F" w:rsidP="00B526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306">
        <w:rPr>
          <w:rFonts w:ascii="Times New Roman" w:hAnsi="Times New Roman" w:cs="Times New Roman"/>
          <w:sz w:val="28"/>
          <w:szCs w:val="28"/>
        </w:rPr>
        <w:t>По окончании времени секундомер останавливается.</w:t>
      </w: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669A3A0C" w14:textId="77777777" w:rsidR="00B5264F" w:rsidRPr="00153BB5" w:rsidRDefault="00B5264F" w:rsidP="00B5264F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 w:rsidRPr="00153BB5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соревнование:</w:t>
      </w:r>
    </w:p>
    <w:p w14:paraId="45B1D33F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защитный костюм с головным убором;</w:t>
      </w:r>
    </w:p>
    <w:p w14:paraId="5201FF83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защитная обувь с усиленным подноском;</w:t>
      </w:r>
    </w:p>
    <w:p w14:paraId="31B42673" w14:textId="77777777" w:rsidR="00B5264F" w:rsidRPr="00153BB5" w:rsidRDefault="00B5264F" w:rsidP="00B5264F">
      <w:pPr>
        <w:pStyle w:val="aff1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BB5">
        <w:rPr>
          <w:rFonts w:ascii="Times New Roman" w:hAnsi="Times New Roman"/>
          <w:sz w:val="28"/>
          <w:szCs w:val="28"/>
        </w:rPr>
        <w:t>жилет сигнальный.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502A36BD" w14:textId="77777777" w:rsidR="00B5264F" w:rsidRPr="00A50A1E" w:rsidRDefault="00B5264F" w:rsidP="00B5264F">
      <w:pPr>
        <w:pStyle w:val="-1"/>
        <w:spacing w:after="0" w:line="276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127353114"/>
      <w:bookmarkStart w:id="19" w:name="_Toc142037194"/>
      <w:r w:rsidRPr="00A50A1E">
        <w:rPr>
          <w:rFonts w:ascii="Times New Roman" w:hAnsi="Times New Roman"/>
          <w:b w:val="0"/>
          <w:caps w:val="0"/>
          <w:color w:val="auto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причинам: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мобильный телефон, средства фото- и видеофиксации.</w:t>
      </w:r>
      <w:bookmarkEnd w:id="18"/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25609FB4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7A037B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  <w:bookmarkStart w:id="20" w:name="_GoBack"/>
      <w:bookmarkEnd w:id="20"/>
      <w:r w:rsidR="00A11569">
        <w:rPr>
          <w:rFonts w:ascii="Times New Roman" w:hAnsi="Times New Roman" w:cs="Times New Roman"/>
          <w:sz w:val="28"/>
          <w:szCs w:val="28"/>
        </w:rPr>
        <w:t>по компетенции «</w:t>
      </w:r>
      <w:r w:rsidR="001055BC">
        <w:rPr>
          <w:rFonts w:ascii="Times New Roman" w:hAnsi="Times New Roman" w:cs="Times New Roman"/>
          <w:sz w:val="28"/>
          <w:szCs w:val="28"/>
          <w:u w:val="single"/>
        </w:rPr>
        <w:t>Лесная таксация</w:t>
      </w:r>
      <w:r w:rsidR="00A11569">
        <w:rPr>
          <w:rFonts w:ascii="Times New Roman" w:hAnsi="Times New Roman" w:cs="Times New Roman"/>
          <w:sz w:val="28"/>
          <w:szCs w:val="28"/>
        </w:rPr>
        <w:t>».</w:t>
      </w:r>
    </w:p>
    <w:p w14:paraId="1F6A2793" w14:textId="2C26C53A" w:rsidR="002B3DBB" w:rsidRDefault="002B3DB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26EAF" w14:textId="77777777" w:rsidR="007761EE" w:rsidRDefault="007761EE" w:rsidP="00970F49">
      <w:pPr>
        <w:spacing w:after="0" w:line="240" w:lineRule="auto"/>
      </w:pPr>
      <w:r>
        <w:separator/>
      </w:r>
    </w:p>
  </w:endnote>
  <w:endnote w:type="continuationSeparator" w:id="0">
    <w:p w14:paraId="6B189DD9" w14:textId="77777777" w:rsidR="007761EE" w:rsidRDefault="007761E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47CE6DC3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7A037B">
          <w:rPr>
            <w:rFonts w:ascii="Times New Roman" w:hAnsi="Times New Roman" w:cs="Times New Roman"/>
            <w:noProof/>
          </w:rPr>
          <w:t>9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79D5E" w14:textId="77777777" w:rsidR="007761EE" w:rsidRDefault="007761EE" w:rsidP="00970F49">
      <w:pPr>
        <w:spacing w:after="0" w:line="240" w:lineRule="auto"/>
      </w:pPr>
      <w:r>
        <w:separator/>
      </w:r>
    </w:p>
  </w:footnote>
  <w:footnote w:type="continuationSeparator" w:id="0">
    <w:p w14:paraId="4578C92E" w14:textId="77777777" w:rsidR="007761EE" w:rsidRDefault="007761E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F6C"/>
    <w:multiLevelType w:val="hybridMultilevel"/>
    <w:tmpl w:val="1114926E"/>
    <w:lvl w:ilvl="0" w:tplc="E64474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F2EAE04">
      <w:numFmt w:val="bullet"/>
      <w:lvlText w:val="•"/>
      <w:lvlJc w:val="left"/>
      <w:pPr>
        <w:ind w:left="214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EB1702"/>
    <w:multiLevelType w:val="hybridMultilevel"/>
    <w:tmpl w:val="B1B05A12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5E2980"/>
    <w:multiLevelType w:val="hybridMultilevel"/>
    <w:tmpl w:val="B6CE6F48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6E44E21"/>
    <w:multiLevelType w:val="multilevel"/>
    <w:tmpl w:val="37F05B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7134A5"/>
    <w:multiLevelType w:val="hybridMultilevel"/>
    <w:tmpl w:val="B27A813A"/>
    <w:lvl w:ilvl="0" w:tplc="42DEA3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5944F0"/>
    <w:multiLevelType w:val="hybridMultilevel"/>
    <w:tmpl w:val="D3E488C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84B54AF"/>
    <w:multiLevelType w:val="hybridMultilevel"/>
    <w:tmpl w:val="0B669FCC"/>
    <w:lvl w:ilvl="0" w:tplc="E6447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4F401042"/>
    <w:multiLevelType w:val="hybridMultilevel"/>
    <w:tmpl w:val="BE94BF1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936F2"/>
    <w:multiLevelType w:val="hybridMultilevel"/>
    <w:tmpl w:val="2E50425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50EF3"/>
    <w:multiLevelType w:val="hybridMultilevel"/>
    <w:tmpl w:val="091CF09E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544634"/>
    <w:multiLevelType w:val="hybridMultilevel"/>
    <w:tmpl w:val="D7B0348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444DC"/>
    <w:multiLevelType w:val="hybridMultilevel"/>
    <w:tmpl w:val="B3DED88C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6"/>
  </w:num>
  <w:num w:numId="10">
    <w:abstractNumId w:val="10"/>
  </w:num>
  <w:num w:numId="11">
    <w:abstractNumId w:val="5"/>
  </w:num>
  <w:num w:numId="12">
    <w:abstractNumId w:val="16"/>
  </w:num>
  <w:num w:numId="13">
    <w:abstractNumId w:val="30"/>
  </w:num>
  <w:num w:numId="14">
    <w:abstractNumId w:val="17"/>
  </w:num>
  <w:num w:numId="15">
    <w:abstractNumId w:val="27"/>
  </w:num>
  <w:num w:numId="16">
    <w:abstractNumId w:val="32"/>
  </w:num>
  <w:num w:numId="17">
    <w:abstractNumId w:val="28"/>
  </w:num>
  <w:num w:numId="18">
    <w:abstractNumId w:val="25"/>
  </w:num>
  <w:num w:numId="19">
    <w:abstractNumId w:val="20"/>
  </w:num>
  <w:num w:numId="20">
    <w:abstractNumId w:val="22"/>
  </w:num>
  <w:num w:numId="21">
    <w:abstractNumId w:val="18"/>
  </w:num>
  <w:num w:numId="22">
    <w:abstractNumId w:val="6"/>
  </w:num>
  <w:num w:numId="23">
    <w:abstractNumId w:val="11"/>
  </w:num>
  <w:num w:numId="24">
    <w:abstractNumId w:val="31"/>
  </w:num>
  <w:num w:numId="25">
    <w:abstractNumId w:val="29"/>
  </w:num>
  <w:num w:numId="26">
    <w:abstractNumId w:val="0"/>
  </w:num>
  <w:num w:numId="27">
    <w:abstractNumId w:val="33"/>
  </w:num>
  <w:num w:numId="28">
    <w:abstractNumId w:val="14"/>
  </w:num>
  <w:num w:numId="29">
    <w:abstractNumId w:val="23"/>
  </w:num>
  <w:num w:numId="30">
    <w:abstractNumId w:val="2"/>
  </w:num>
  <w:num w:numId="31">
    <w:abstractNumId w:val="15"/>
  </w:num>
  <w:num w:numId="32">
    <w:abstractNumId w:val="24"/>
  </w:num>
  <w:num w:numId="33">
    <w:abstractNumId w:val="7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2B5E"/>
    <w:rsid w:val="001055BC"/>
    <w:rsid w:val="00106738"/>
    <w:rsid w:val="00114D79"/>
    <w:rsid w:val="001167D8"/>
    <w:rsid w:val="00127743"/>
    <w:rsid w:val="00137545"/>
    <w:rsid w:val="0015561E"/>
    <w:rsid w:val="001627D5"/>
    <w:rsid w:val="0017612A"/>
    <w:rsid w:val="001B4B65"/>
    <w:rsid w:val="001C1282"/>
    <w:rsid w:val="001C63E7"/>
    <w:rsid w:val="001D1B4F"/>
    <w:rsid w:val="001E1DF9"/>
    <w:rsid w:val="00220E70"/>
    <w:rsid w:val="002228E8"/>
    <w:rsid w:val="00237603"/>
    <w:rsid w:val="00247E8C"/>
    <w:rsid w:val="00270E01"/>
    <w:rsid w:val="00274254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7552"/>
    <w:rsid w:val="0042286F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3AEC"/>
    <w:rsid w:val="004B692B"/>
    <w:rsid w:val="004C3CAF"/>
    <w:rsid w:val="004C703E"/>
    <w:rsid w:val="004D096E"/>
    <w:rsid w:val="004E785E"/>
    <w:rsid w:val="004E7905"/>
    <w:rsid w:val="005055FF"/>
    <w:rsid w:val="00510059"/>
    <w:rsid w:val="00511EC7"/>
    <w:rsid w:val="00554CBB"/>
    <w:rsid w:val="005560AC"/>
    <w:rsid w:val="00557CC0"/>
    <w:rsid w:val="0056194A"/>
    <w:rsid w:val="00565B7C"/>
    <w:rsid w:val="005A0515"/>
    <w:rsid w:val="005A1625"/>
    <w:rsid w:val="005A203B"/>
    <w:rsid w:val="005B05D5"/>
    <w:rsid w:val="005B0DEC"/>
    <w:rsid w:val="005B66FC"/>
    <w:rsid w:val="005C6A23"/>
    <w:rsid w:val="005D1ED7"/>
    <w:rsid w:val="005E30DC"/>
    <w:rsid w:val="00605DD7"/>
    <w:rsid w:val="0060658F"/>
    <w:rsid w:val="00613219"/>
    <w:rsid w:val="00616072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1EE"/>
    <w:rsid w:val="0078311A"/>
    <w:rsid w:val="00791D70"/>
    <w:rsid w:val="007A037B"/>
    <w:rsid w:val="007A61C5"/>
    <w:rsid w:val="007A6888"/>
    <w:rsid w:val="007B0DCC"/>
    <w:rsid w:val="007B2222"/>
    <w:rsid w:val="007B3FD5"/>
    <w:rsid w:val="007B5BE2"/>
    <w:rsid w:val="007D3601"/>
    <w:rsid w:val="007D6C20"/>
    <w:rsid w:val="007E73B4"/>
    <w:rsid w:val="00802057"/>
    <w:rsid w:val="00812516"/>
    <w:rsid w:val="00832EBB"/>
    <w:rsid w:val="00834734"/>
    <w:rsid w:val="00835BF6"/>
    <w:rsid w:val="0087078F"/>
    <w:rsid w:val="008761F3"/>
    <w:rsid w:val="00881DD2"/>
    <w:rsid w:val="00882B54"/>
    <w:rsid w:val="008912AE"/>
    <w:rsid w:val="008B0F23"/>
    <w:rsid w:val="008B560B"/>
    <w:rsid w:val="008B6413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0B9"/>
    <w:rsid w:val="00992D9C"/>
    <w:rsid w:val="009931F0"/>
    <w:rsid w:val="009955F8"/>
    <w:rsid w:val="009A1CBC"/>
    <w:rsid w:val="009A36AD"/>
    <w:rsid w:val="009B18A2"/>
    <w:rsid w:val="009D04EE"/>
    <w:rsid w:val="009E0B34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5883"/>
    <w:rsid w:val="00A36EE2"/>
    <w:rsid w:val="00A4187F"/>
    <w:rsid w:val="00A57976"/>
    <w:rsid w:val="00A636B8"/>
    <w:rsid w:val="00A8496D"/>
    <w:rsid w:val="00A85D42"/>
    <w:rsid w:val="00A8691E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264F"/>
    <w:rsid w:val="00B610A2"/>
    <w:rsid w:val="00BA2CF0"/>
    <w:rsid w:val="00BC0239"/>
    <w:rsid w:val="00BC3813"/>
    <w:rsid w:val="00BC7808"/>
    <w:rsid w:val="00BE099A"/>
    <w:rsid w:val="00C06EBC"/>
    <w:rsid w:val="00C0723F"/>
    <w:rsid w:val="00C07982"/>
    <w:rsid w:val="00C121F9"/>
    <w:rsid w:val="00C17B01"/>
    <w:rsid w:val="00C21E3A"/>
    <w:rsid w:val="00C26C83"/>
    <w:rsid w:val="00C27CDE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66E8"/>
    <w:rsid w:val="00D617CC"/>
    <w:rsid w:val="00D82186"/>
    <w:rsid w:val="00D83E4E"/>
    <w:rsid w:val="00D87A1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109A5AE4-0062-4186-AE25-CDF360BE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A0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F8FC-C7BF-414B-BC7C-F67D32C2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</cp:revision>
  <cp:lastPrinted>2024-05-13T03:43:00Z</cp:lastPrinted>
  <dcterms:created xsi:type="dcterms:W3CDTF">2024-05-13T06:31:00Z</dcterms:created>
  <dcterms:modified xsi:type="dcterms:W3CDTF">2024-05-27T14:42:00Z</dcterms:modified>
</cp:coreProperties>
</file>