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452D455" w:rsidR="00004270" w:rsidRDefault="00004270" w:rsidP="00145B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</w:t>
      </w:r>
      <w:r w:rsidR="00145BE7">
        <w:rPr>
          <w:rFonts w:eastAsia="Times New Roman" w:cs="Times New Roman"/>
          <w:color w:val="000000"/>
          <w:sz w:val="40"/>
          <w:szCs w:val="40"/>
        </w:rPr>
        <w:t>и</w:t>
      </w:r>
      <w:r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1575CD" w:rsidRPr="001575CD">
        <w:rPr>
          <w:rFonts w:eastAsia="Times New Roman" w:cs="Times New Roman"/>
          <w:color w:val="000000"/>
          <w:sz w:val="40"/>
          <w:szCs w:val="40"/>
        </w:rPr>
        <w:t>Структурированные кабельные</w:t>
      </w:r>
      <w:r w:rsidR="00145BE7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1575CD" w:rsidRPr="001575CD">
        <w:rPr>
          <w:rFonts w:eastAsia="Times New Roman" w:cs="Times New Roman"/>
          <w:color w:val="000000"/>
          <w:sz w:val="40"/>
          <w:szCs w:val="40"/>
        </w:rPr>
        <w:t>системы</w:t>
      </w:r>
      <w:r w:rsidR="001575CD">
        <w:rPr>
          <w:rFonts w:eastAsia="Times New Roman" w:cs="Times New Roman"/>
          <w:color w:val="000000"/>
          <w:sz w:val="40"/>
          <w:szCs w:val="40"/>
        </w:rPr>
        <w:t>»</w:t>
      </w:r>
    </w:p>
    <w:p w14:paraId="31790BE3" w14:textId="77777777" w:rsidR="004B63E0" w:rsidRPr="004B63E0" w:rsidRDefault="004B63E0" w:rsidP="004B63E0">
      <w:pPr>
        <w:jc w:val="center"/>
        <w:rPr>
          <w:rFonts w:eastAsia="Times New Roman" w:cs="Times New Roman"/>
          <w:sz w:val="40"/>
          <w:szCs w:val="40"/>
        </w:rPr>
      </w:pPr>
      <w:r w:rsidRPr="004B63E0">
        <w:rPr>
          <w:rFonts w:eastAsia="Times New Roman" w:cs="Times New Roman"/>
          <w:sz w:val="40"/>
          <w:szCs w:val="40"/>
        </w:rPr>
        <w:t>Финала Чемпионата по профессиональному мастерству «Профессионалы» в 2024 г.</w:t>
      </w:r>
    </w:p>
    <w:p w14:paraId="253F13FF" w14:textId="63438CAF" w:rsidR="00145BE7" w:rsidRPr="00145BE7" w:rsidRDefault="00145BE7" w:rsidP="00145B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2D246924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8E26676" w14:textId="5081BBA5" w:rsidR="001575CD" w:rsidRDefault="001575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C088FAC" w14:textId="0F7C6E16" w:rsidR="001575CD" w:rsidRDefault="001575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0F63F72" w14:textId="77777777" w:rsidR="001575CD" w:rsidRDefault="001575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6628EA7" w:rsidR="001A206B" w:rsidRDefault="00145BE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A66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A66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6A66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6A66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6A66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A8ECC91" w:rsidR="001A206B" w:rsidRDefault="006A66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833D58C" w:rsidR="001A206B" w:rsidRDefault="00A8114D" w:rsidP="004B63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4B63E0" w:rsidRPr="004B63E0">
        <w:rPr>
          <w:rFonts w:eastAsia="Times New Roman" w:cs="Times New Roman"/>
          <w:color w:val="000000"/>
          <w:sz w:val="28"/>
          <w:szCs w:val="28"/>
        </w:rPr>
        <w:t>Финала Чемпионата по профессиональному мастерству «Профессионалы» в 2024 г.</w:t>
      </w:r>
      <w:r w:rsidR="004B63E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14:paraId="74DA18A6" w14:textId="43D6943C" w:rsidR="001A206B" w:rsidRDefault="00A8114D" w:rsidP="004B63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4B63E0" w:rsidRPr="004B63E0">
        <w:rPr>
          <w:rFonts w:eastAsia="Times New Roman" w:cs="Times New Roman"/>
          <w:color w:val="000000"/>
          <w:sz w:val="28"/>
          <w:szCs w:val="28"/>
        </w:rPr>
        <w:t>Финала Чемпионата по профессиональному мастерству «Профессионалы» в 2024 г.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1575CD" w:rsidRPr="001575CD">
        <w:rPr>
          <w:rFonts w:eastAsia="Times New Roman" w:cs="Times New Roman"/>
          <w:color w:val="000000"/>
          <w:sz w:val="28"/>
          <w:szCs w:val="28"/>
        </w:rPr>
        <w:t>Структурированные кабельные системы</w:t>
      </w:r>
      <w:r>
        <w:rPr>
          <w:rFonts w:eastAsia="Times New Roman" w:cs="Times New Roman"/>
          <w:color w:val="000000"/>
          <w:sz w:val="28"/>
          <w:szCs w:val="28"/>
        </w:rPr>
        <w:t>».</w:t>
      </w: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CAD6865" w14:textId="5D063E45" w:rsidR="00192468" w:rsidRPr="00192468" w:rsidRDefault="00A8114D" w:rsidP="001924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192468" w:rsidRPr="00192468">
        <w:rPr>
          <w:rFonts w:eastAsia="Times New Roman" w:cs="Times New Roman"/>
          <w:color w:val="000000"/>
          <w:sz w:val="28"/>
          <w:szCs w:val="28"/>
        </w:rPr>
        <w:t xml:space="preserve"> СанПиН 2.2.2/2.4.1340-03 "Гигиенические требования к персональным электронно-вычислительным машинам и организации работы"</w:t>
      </w:r>
    </w:p>
    <w:p w14:paraId="438A9C12" w14:textId="538FD673" w:rsidR="00192468" w:rsidRPr="00192468" w:rsidRDefault="00192468" w:rsidP="001924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</w:t>
      </w:r>
      <w:r w:rsidRPr="00192468">
        <w:rPr>
          <w:rFonts w:eastAsia="Times New Roman" w:cs="Times New Roman"/>
          <w:color w:val="000000"/>
          <w:sz w:val="28"/>
          <w:szCs w:val="28"/>
        </w:rPr>
        <w:t xml:space="preserve"> СанПиН 2.2.4.3359-16 "Санитарно-эпидемиологические требования к физическим факторам на рабочих местах"</w:t>
      </w:r>
    </w:p>
    <w:p w14:paraId="68B30000" w14:textId="22C22874" w:rsidR="001A206B" w:rsidRDefault="00192468" w:rsidP="001924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92468">
        <w:rPr>
          <w:rFonts w:eastAsia="Times New Roman" w:cs="Times New Roman"/>
          <w:color w:val="000000"/>
          <w:sz w:val="28"/>
          <w:szCs w:val="28"/>
        </w:rPr>
        <w:t>2.1.4 СП (СНИП) СП 2.2.3670-20 «Санитарно-эпидемиологические требования к условиям труда», СНиП 11-01-95, СНиП 2.09.04-87</w:t>
      </w:r>
    </w:p>
    <w:p w14:paraId="0D96B167" w14:textId="23C89293" w:rsidR="00192468" w:rsidRDefault="00192468" w:rsidP="001924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192468">
        <w:rPr>
          <w:rFonts w:eastAsia="Times New Roman" w:cs="Times New Roman"/>
          <w:color w:val="000000"/>
          <w:sz w:val="28"/>
          <w:szCs w:val="28"/>
        </w:rPr>
        <w:t>Типовая инструкция по охране труда кабельщика-спайщика ТОИ Р-45-082-01</w:t>
      </w:r>
    </w:p>
    <w:p w14:paraId="09B6DB33" w14:textId="67F255A0" w:rsidR="00192468" w:rsidRDefault="007B6E00" w:rsidP="007B6E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r w:rsidRPr="007B6E00">
        <w:rPr>
          <w:rFonts w:eastAsia="Times New Roman" w:cs="Times New Roman"/>
          <w:color w:val="000000"/>
          <w:sz w:val="28"/>
          <w:szCs w:val="28"/>
        </w:rPr>
        <w:t>Правила по охране труда при выполнении работ на объектах связи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7B6E00">
        <w:rPr>
          <w:rFonts w:eastAsia="Times New Roman" w:cs="Times New Roman"/>
          <w:color w:val="000000"/>
          <w:sz w:val="28"/>
          <w:szCs w:val="28"/>
        </w:rPr>
        <w:t xml:space="preserve">МИНИСТЕРСТВО ТРУДА И СОЦИАЛЬНОЙ ЗАЩИТЫ </w:t>
      </w:r>
      <w:r w:rsidR="00A708E9">
        <w:rPr>
          <w:rFonts w:eastAsia="Times New Roman" w:cs="Times New Roman"/>
          <w:color w:val="000000"/>
          <w:sz w:val="28"/>
          <w:szCs w:val="28"/>
        </w:rPr>
        <w:t>РФ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7B6E00">
        <w:rPr>
          <w:rFonts w:eastAsia="Times New Roman" w:cs="Times New Roman"/>
          <w:color w:val="000000"/>
          <w:sz w:val="28"/>
          <w:szCs w:val="28"/>
        </w:rPr>
        <w:t>ПРИКАЗ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B6E00">
        <w:rPr>
          <w:rFonts w:eastAsia="Times New Roman" w:cs="Times New Roman"/>
          <w:color w:val="000000"/>
          <w:sz w:val="28"/>
          <w:szCs w:val="28"/>
        </w:rPr>
        <w:t>от 7 декабря 2020 г. N 867н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B6E00">
        <w:rPr>
          <w:rFonts w:eastAsia="Times New Roman" w:cs="Times New Roman"/>
          <w:color w:val="000000"/>
          <w:sz w:val="28"/>
          <w:szCs w:val="28"/>
        </w:rPr>
        <w:t>ОБ УТВЕРЖДЕНИИ ПРАВИЛ ПО ОХРАНЕ ТРУДА ПРИ ВЫПОЛНЕНИИ РАБОТ НА ОБЪЕКТАХ СВЯЗИ</w:t>
      </w:r>
    </w:p>
    <w:p w14:paraId="19FCE76D" w14:textId="60ABC4BA" w:rsidR="00CB0742" w:rsidRDefault="00CB0742" w:rsidP="007B6E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2.1.7 </w:t>
      </w:r>
      <w:r w:rsidRPr="00CB0742">
        <w:rPr>
          <w:rFonts w:eastAsia="Times New Roman" w:cs="Times New Roman"/>
          <w:color w:val="000000"/>
          <w:sz w:val="28"/>
          <w:szCs w:val="28"/>
        </w:rPr>
        <w:t>ГОСТ Р 53315-2009 Кабельные изделия. Требования пожарной безопасности</w:t>
      </w:r>
    </w:p>
    <w:p w14:paraId="38A6FDAB" w14:textId="38BA81F0" w:rsidR="00CB0742" w:rsidRPr="00192468" w:rsidRDefault="00CB0742" w:rsidP="007B6E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2.1.8 </w:t>
      </w:r>
      <w:r w:rsidRPr="00CB0742">
        <w:rPr>
          <w:rFonts w:eastAsia="Times New Roman" w:cs="Times New Roman"/>
          <w:color w:val="000000"/>
          <w:sz w:val="28"/>
          <w:szCs w:val="28"/>
        </w:rPr>
        <w:t>Приказ Минтруда России от 15.12.2020 № 903н "Об утверждении Правил по охране труда при эксплуатации электроустановок"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2D74D22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1575CD" w:rsidRPr="001575CD">
        <w:rPr>
          <w:rFonts w:eastAsia="Times New Roman" w:cs="Times New Roman"/>
          <w:color w:val="000000"/>
          <w:sz w:val="28"/>
          <w:szCs w:val="28"/>
        </w:rPr>
        <w:t>Структурированные кабельные системы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1575CD">
        <w:rPr>
          <w:rFonts w:eastAsia="Times New Roman" w:cs="Times New Roman"/>
          <w:color w:val="000000"/>
          <w:sz w:val="28"/>
          <w:szCs w:val="28"/>
        </w:rPr>
        <w:t>специалист по обслуживанию телекоммуникаций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5235F" w14:textId="0F32815C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lastRenderedPageBreak/>
        <w:t>В день С–1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05216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технике безопасности, с планами эвакуации при возникновении пожара, местами расположения </w:t>
      </w:r>
      <w:proofErr w:type="spellStart"/>
      <w:r w:rsidRPr="00305216">
        <w:rPr>
          <w:rFonts w:eastAsia="Times New Roman" w:cs="Times New Roman"/>
          <w:color w:val="000000"/>
          <w:sz w:val="28"/>
          <w:szCs w:val="28"/>
        </w:rPr>
        <w:t>санитарно</w:t>
      </w:r>
      <w:proofErr w:type="spellEnd"/>
      <w:r w:rsidRPr="00305216">
        <w:rPr>
          <w:rFonts w:eastAsia="Times New Roman" w:cs="Times New Roman"/>
          <w:color w:val="000000"/>
          <w:sz w:val="28"/>
          <w:szCs w:val="28"/>
        </w:rPr>
        <w:t>–бытовых помещений, медицинскими кабинетами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F3AD272" w14:textId="5917BE5B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Спецодежда должна быть подогнана, не стеснять движения, не иметь разрывов ткани, рукава застегнуты, тесемки не болтаются, ботинки застегнуты и (или) зашнурованы; средства индивидуальной защиты подготовлены и находятся в исправном состоянии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EA83E93" w14:textId="15FFD20A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</w:t>
      </w:r>
      <w:r>
        <w:rPr>
          <w:rFonts w:eastAsia="Times New Roman" w:cs="Times New Roman"/>
          <w:color w:val="000000"/>
          <w:sz w:val="28"/>
          <w:szCs w:val="28"/>
        </w:rPr>
        <w:t>протокол</w:t>
      </w:r>
      <w:r w:rsidRPr="00305216">
        <w:rPr>
          <w:rFonts w:eastAsia="Times New Roman" w:cs="Times New Roman"/>
          <w:color w:val="000000"/>
          <w:sz w:val="28"/>
          <w:szCs w:val="28"/>
        </w:rPr>
        <w:t xml:space="preserve"> прохождения инструктажа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B9FCCBC" w14:textId="77777777" w:rsid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Ё</w:t>
      </w:r>
      <w:r w:rsidRPr="00305216">
        <w:rPr>
          <w:rFonts w:eastAsia="Times New Roman" w:cs="Times New Roman"/>
          <w:color w:val="000000"/>
          <w:sz w:val="28"/>
          <w:szCs w:val="28"/>
        </w:rPr>
        <w:t>мкости, содержащие специальные жидкости, должны иметь этикетку о составе жидкости, а также иметь, при необходимости, надпись «Яд», «Огнеопасно» и др., в зависимости от своих свойств;</w:t>
      </w:r>
    </w:p>
    <w:p w14:paraId="16B1E72E" w14:textId="7A03B3D1" w:rsidR="00305216" w:rsidRPr="00C71AAB" w:rsidRDefault="00305216" w:rsidP="00C71AA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C71AAB">
        <w:rPr>
          <w:rFonts w:eastAsia="Times New Roman" w:cs="Times New Roman"/>
          <w:color w:val="000000"/>
          <w:sz w:val="28"/>
          <w:szCs w:val="28"/>
        </w:rPr>
        <w:t>Аппарат для сварки оптически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х </w:t>
      </w:r>
      <w:r w:rsidRPr="00C71AAB">
        <w:rPr>
          <w:rFonts w:eastAsia="Times New Roman" w:cs="Times New Roman"/>
          <w:color w:val="000000"/>
          <w:sz w:val="28"/>
          <w:szCs w:val="28"/>
        </w:rPr>
        <w:t>должно иметь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в комплекте: скалыватель, источник питания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, содержать </w:t>
      </w:r>
      <w:r w:rsidRPr="00C71AAB">
        <w:rPr>
          <w:rFonts w:eastAsia="Times New Roman" w:cs="Times New Roman"/>
          <w:color w:val="000000"/>
          <w:sz w:val="28"/>
          <w:szCs w:val="28"/>
        </w:rPr>
        <w:t>световую индикацию включения напряжения питания. Запрещается эксплуатация прибора со снятой защитной крышкой блока электродов.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Прибор для сертификации СКС</w:t>
      </w:r>
      <w:r w:rsidR="00C71AAB">
        <w:rPr>
          <w:rFonts w:eastAsia="Times New Roman" w:cs="Times New Roman"/>
          <w:color w:val="000000"/>
          <w:sz w:val="28"/>
          <w:szCs w:val="28"/>
        </w:rPr>
        <w:t>: в</w:t>
      </w:r>
      <w:r w:rsidRPr="00C71AAB">
        <w:rPr>
          <w:rFonts w:eastAsia="Times New Roman" w:cs="Times New Roman"/>
          <w:color w:val="000000"/>
          <w:sz w:val="28"/>
          <w:szCs w:val="28"/>
        </w:rPr>
        <w:t>ключение прибора допускается после визуального осмотра аккумуляторных элементов питания на предмет их повреждения или вздутия.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Визуальный локатор повреждений</w:t>
      </w:r>
      <w:r w:rsidR="00C71AAB">
        <w:rPr>
          <w:rFonts w:eastAsia="Times New Roman" w:cs="Times New Roman"/>
          <w:color w:val="000000"/>
          <w:sz w:val="28"/>
          <w:szCs w:val="28"/>
        </w:rPr>
        <w:t>: н</w:t>
      </w:r>
      <w:r w:rsidRPr="00C71AAB">
        <w:rPr>
          <w:rFonts w:eastAsia="Times New Roman" w:cs="Times New Roman"/>
          <w:color w:val="000000"/>
          <w:sz w:val="28"/>
          <w:szCs w:val="28"/>
        </w:rPr>
        <w:t>а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корпусе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переносного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измерительного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прибора,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содержащего лазерный генератор, должен быть помещен знак «Опасно. Лазерное излучение».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Кабельный тестер + тональный генератор для кабеля «витой пары»</w:t>
      </w:r>
      <w:r w:rsidR="00C71AAB">
        <w:rPr>
          <w:rFonts w:eastAsia="Times New Roman" w:cs="Times New Roman"/>
          <w:color w:val="000000"/>
          <w:sz w:val="28"/>
          <w:szCs w:val="28"/>
        </w:rPr>
        <w:t>: в</w:t>
      </w:r>
      <w:r w:rsidRPr="00C71AAB">
        <w:rPr>
          <w:rFonts w:eastAsia="Times New Roman" w:cs="Times New Roman"/>
          <w:color w:val="000000"/>
          <w:sz w:val="28"/>
          <w:szCs w:val="28"/>
        </w:rPr>
        <w:t>ключение тестера допускается после визуального осмотра аккумуляторных элементов питания на предмет их повреждения или вздутия.</w:t>
      </w:r>
      <w:r w:rsidR="00C71A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71AAB">
        <w:rPr>
          <w:rFonts w:eastAsia="Times New Roman" w:cs="Times New Roman"/>
          <w:color w:val="000000"/>
          <w:sz w:val="28"/>
          <w:szCs w:val="28"/>
        </w:rPr>
        <w:t>Шуруповёрт</w:t>
      </w:r>
      <w:r w:rsidR="00C71AAB" w:rsidRPr="00C71AAB">
        <w:rPr>
          <w:rFonts w:eastAsia="Times New Roman" w:cs="Times New Roman"/>
          <w:color w:val="000000"/>
          <w:sz w:val="28"/>
          <w:szCs w:val="28"/>
        </w:rPr>
        <w:t xml:space="preserve"> - </w:t>
      </w:r>
      <w:r w:rsidR="00C71AAB">
        <w:rPr>
          <w:rFonts w:eastAsia="Times New Roman" w:cs="Times New Roman"/>
          <w:color w:val="000000"/>
          <w:sz w:val="28"/>
          <w:szCs w:val="28"/>
        </w:rPr>
        <w:t>в</w:t>
      </w:r>
      <w:r w:rsidRPr="00C71AAB">
        <w:rPr>
          <w:rFonts w:eastAsia="Times New Roman" w:cs="Times New Roman"/>
          <w:color w:val="000000"/>
          <w:sz w:val="28"/>
          <w:szCs w:val="28"/>
        </w:rPr>
        <w:t>ключать шуруповёрт можно только после его визуальной проверки на предмет повреждений корпуса, подвижных частей.</w:t>
      </w:r>
    </w:p>
    <w:p w14:paraId="41FE831D" w14:textId="77777777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5BF8BA3D" w14:textId="7B165454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00D93AB" w14:textId="77777777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14:paraId="53E6FB56" w14:textId="22AE2104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F44E197" w14:textId="69BF4B33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708F4567" w14:textId="63AB113B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436681AB" w14:textId="1CEC233F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4E8963B3" w14:textId="6242103F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7C2970F" w14:textId="0D354BBB" w:rsidR="00305216" w:rsidRPr="00305216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A51D096" w14:textId="034E1E82" w:rsidR="001A206B" w:rsidRDefault="00305216" w:rsidP="0030521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 xml:space="preserve">Участнику запрещается приступать к выполнению конкурсного задания 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66F51C0B" w:rsidR="001A206B" w:rsidRDefault="00BE1C7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05216">
        <w:rPr>
          <w:rFonts w:eastAsia="Times New Roman" w:cs="Times New Roman"/>
          <w:color w:val="000000"/>
          <w:sz w:val="28"/>
          <w:szCs w:val="28"/>
        </w:rPr>
        <w:t>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568B84B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</w:p>
    <w:tbl>
      <w:tblPr>
        <w:tblStyle w:val="ad"/>
        <w:tblW w:w="9918" w:type="dxa"/>
        <w:tblLayout w:type="fixed"/>
        <w:tblLook w:val="0000" w:firstRow="0" w:lastRow="0" w:firstColumn="0" w:lastColumn="0" w:noHBand="0" w:noVBand="0"/>
      </w:tblPr>
      <w:tblGrid>
        <w:gridCol w:w="3823"/>
        <w:gridCol w:w="6095"/>
      </w:tblGrid>
      <w:tr w:rsidR="009A49E9" w:rsidRPr="00F7567E" w14:paraId="7E8BEAB9" w14:textId="77777777" w:rsidTr="000F14CC">
        <w:trPr>
          <w:trHeight w:hRule="exact" w:val="1072"/>
        </w:trPr>
        <w:tc>
          <w:tcPr>
            <w:tcW w:w="3823" w:type="dxa"/>
            <w:vAlign w:val="center"/>
          </w:tcPr>
          <w:p w14:paraId="319A71C3" w14:textId="275056E9" w:rsidR="009A49E9" w:rsidRPr="000F14CC" w:rsidRDefault="009A49E9" w:rsidP="000F14CC">
            <w:pPr>
              <w:pStyle w:val="aff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0F14CC">
              <w:rPr>
                <w:b/>
                <w:bCs/>
                <w:sz w:val="28"/>
                <w:szCs w:val="28"/>
                <w:lang w:eastAsia="ru-RU" w:bidi="ru-RU"/>
              </w:rPr>
              <w:t>Наименование инструмента/оборудования</w:t>
            </w:r>
          </w:p>
        </w:tc>
        <w:tc>
          <w:tcPr>
            <w:tcW w:w="6095" w:type="dxa"/>
            <w:vAlign w:val="center"/>
          </w:tcPr>
          <w:p w14:paraId="0D0B1E09" w14:textId="77777777" w:rsidR="009A49E9" w:rsidRPr="000F14CC" w:rsidRDefault="009A49E9" w:rsidP="000F14CC">
            <w:pPr>
              <w:pStyle w:val="aff3"/>
              <w:spacing w:after="0"/>
              <w:ind w:firstLine="0"/>
              <w:jc w:val="center"/>
              <w:rPr>
                <w:sz w:val="28"/>
                <w:szCs w:val="28"/>
              </w:rPr>
            </w:pPr>
            <w:r w:rsidRPr="000F14CC">
              <w:rPr>
                <w:b/>
                <w:bCs/>
                <w:sz w:val="28"/>
                <w:szCs w:val="28"/>
                <w:lang w:eastAsia="ru-RU" w:bidi="ru-RU"/>
              </w:rPr>
              <w:t>Требования безопасности</w:t>
            </w:r>
          </w:p>
        </w:tc>
      </w:tr>
      <w:tr w:rsidR="009A49E9" w:rsidRPr="00F7567E" w14:paraId="4B188B81" w14:textId="77777777" w:rsidTr="000F14CC">
        <w:trPr>
          <w:trHeight w:hRule="exact" w:val="1697"/>
        </w:trPr>
        <w:tc>
          <w:tcPr>
            <w:tcW w:w="3823" w:type="dxa"/>
          </w:tcPr>
          <w:p w14:paraId="58B8C8E5" w14:textId="6B15D4CF" w:rsidR="009A49E9" w:rsidRPr="000F14CC" w:rsidRDefault="009A49E9" w:rsidP="00605822">
            <w:pPr>
              <w:pStyle w:val="aff3"/>
              <w:spacing w:after="0"/>
              <w:ind w:firstLine="0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Аппарат для сварки оптических волокон, в комплекте: аппарат, скалыватель, источник питания</w:t>
            </w:r>
          </w:p>
        </w:tc>
        <w:tc>
          <w:tcPr>
            <w:tcW w:w="6095" w:type="dxa"/>
          </w:tcPr>
          <w:p w14:paraId="43FFE59D" w14:textId="17B1EFEC" w:rsidR="009A49E9" w:rsidRPr="000F14CC" w:rsidRDefault="009A49E9" w:rsidP="00605822">
            <w:pPr>
              <w:pStyle w:val="aff3"/>
              <w:spacing w:after="0"/>
              <w:ind w:firstLine="0"/>
              <w:jc w:val="both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Устройство для сварки оптического волокна должно иметь световую индикацию включения напряжения питания. Запрещается эксплуатация прибора со снятой защитной крышкой блока электродов</w:t>
            </w:r>
          </w:p>
        </w:tc>
      </w:tr>
      <w:tr w:rsidR="009A49E9" w:rsidRPr="00F7567E" w14:paraId="22E873BE" w14:textId="77777777" w:rsidTr="004B63E0">
        <w:trPr>
          <w:trHeight w:hRule="exact" w:val="1055"/>
        </w:trPr>
        <w:tc>
          <w:tcPr>
            <w:tcW w:w="3823" w:type="dxa"/>
          </w:tcPr>
          <w:p w14:paraId="07ACBB0B" w14:textId="0A1C9A26" w:rsidR="009A49E9" w:rsidRPr="000F14CC" w:rsidRDefault="009A49E9" w:rsidP="00605822">
            <w:pPr>
              <w:pStyle w:val="aff3"/>
              <w:spacing w:after="0" w:line="264" w:lineRule="auto"/>
              <w:ind w:firstLine="0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Прибор для сертификации СКС</w:t>
            </w:r>
          </w:p>
        </w:tc>
        <w:tc>
          <w:tcPr>
            <w:tcW w:w="6095" w:type="dxa"/>
          </w:tcPr>
          <w:p w14:paraId="08904D0C" w14:textId="197E379F" w:rsidR="009A49E9" w:rsidRPr="000F14CC" w:rsidRDefault="009A49E9" w:rsidP="004B63E0">
            <w:pPr>
              <w:pStyle w:val="aff3"/>
              <w:spacing w:after="0" w:line="254" w:lineRule="auto"/>
              <w:ind w:firstLine="0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Запрещается эксп</w:t>
            </w:r>
            <w:r w:rsidR="004B63E0">
              <w:rPr>
                <w:sz w:val="28"/>
                <w:szCs w:val="28"/>
                <w:lang w:eastAsia="ru-RU" w:bidi="ru-RU"/>
              </w:rPr>
              <w:t xml:space="preserve">луатация прибора с неисправными </w:t>
            </w:r>
            <w:r w:rsidRPr="000F14CC">
              <w:rPr>
                <w:sz w:val="28"/>
                <w:szCs w:val="28"/>
                <w:lang w:eastAsia="ru-RU" w:bidi="ru-RU"/>
              </w:rPr>
              <w:t>аккумуляторными элементами питания</w:t>
            </w:r>
          </w:p>
        </w:tc>
      </w:tr>
      <w:tr w:rsidR="009A49E9" w:rsidRPr="00F7567E" w14:paraId="7BC3DA50" w14:textId="77777777" w:rsidTr="004B63E0">
        <w:trPr>
          <w:trHeight w:hRule="exact" w:val="814"/>
        </w:trPr>
        <w:tc>
          <w:tcPr>
            <w:tcW w:w="3823" w:type="dxa"/>
          </w:tcPr>
          <w:p w14:paraId="4AAD0435" w14:textId="77777777" w:rsidR="009A49E9" w:rsidRPr="000F14CC" w:rsidRDefault="009A49E9" w:rsidP="00605822">
            <w:pPr>
              <w:pStyle w:val="aff3"/>
              <w:spacing w:after="0" w:line="264" w:lineRule="auto"/>
              <w:ind w:firstLine="0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Визуальный локатор повреждений</w:t>
            </w:r>
          </w:p>
        </w:tc>
        <w:tc>
          <w:tcPr>
            <w:tcW w:w="6095" w:type="dxa"/>
            <w:vMerge w:val="restart"/>
          </w:tcPr>
          <w:p w14:paraId="633B79FD" w14:textId="77E973A8" w:rsidR="009A49E9" w:rsidRPr="000F14CC" w:rsidRDefault="009A49E9" w:rsidP="009A49E9">
            <w:pPr>
              <w:pStyle w:val="aff3"/>
              <w:tabs>
                <w:tab w:val="left" w:pos="1843"/>
                <w:tab w:val="left" w:pos="3211"/>
                <w:tab w:val="left" w:pos="4675"/>
              </w:tabs>
              <w:spacing w:after="0"/>
              <w:ind w:firstLine="0"/>
              <w:jc w:val="both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При работе с переносными измерительными приборами, содержащими лазерный генератор, запрещается:</w:t>
            </w:r>
            <w:r w:rsidRPr="000F14CC">
              <w:rPr>
                <w:sz w:val="28"/>
                <w:szCs w:val="28"/>
              </w:rPr>
              <w:t xml:space="preserve"> </w:t>
            </w:r>
            <w:r w:rsidRPr="000F14CC">
              <w:rPr>
                <w:sz w:val="28"/>
                <w:szCs w:val="28"/>
                <w:lang w:eastAsia="ru-RU" w:bidi="ru-RU"/>
              </w:rPr>
              <w:t>визуально наблюдать за лазерным лучом; направлять излучение лазера на человека</w:t>
            </w:r>
          </w:p>
        </w:tc>
      </w:tr>
      <w:tr w:rsidR="009A49E9" w:rsidRPr="00F7567E" w14:paraId="3527F1EF" w14:textId="77777777" w:rsidTr="000F14CC">
        <w:trPr>
          <w:trHeight w:hRule="exact" w:val="858"/>
        </w:trPr>
        <w:tc>
          <w:tcPr>
            <w:tcW w:w="3823" w:type="dxa"/>
          </w:tcPr>
          <w:p w14:paraId="239B357C" w14:textId="77777777" w:rsidR="009A49E9" w:rsidRPr="000F14CC" w:rsidRDefault="009A49E9" w:rsidP="00605822">
            <w:pPr>
              <w:pStyle w:val="aff3"/>
              <w:spacing w:after="0"/>
              <w:ind w:firstLine="0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val="en-US" w:bidi="en-US"/>
              </w:rPr>
              <w:t xml:space="preserve">OTDR (SM) </w:t>
            </w:r>
            <w:r w:rsidRPr="000F14CC">
              <w:rPr>
                <w:sz w:val="28"/>
                <w:szCs w:val="28"/>
                <w:lang w:eastAsia="ru-RU" w:bidi="ru-RU"/>
              </w:rPr>
              <w:t>+ комплект шнуров</w:t>
            </w:r>
          </w:p>
        </w:tc>
        <w:tc>
          <w:tcPr>
            <w:tcW w:w="6095" w:type="dxa"/>
            <w:vMerge/>
          </w:tcPr>
          <w:p w14:paraId="145FAACB" w14:textId="77777777" w:rsidR="009A49E9" w:rsidRPr="000F14CC" w:rsidRDefault="009A49E9" w:rsidP="00605822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9A49E9" w:rsidRPr="00F7567E" w14:paraId="355E06EE" w14:textId="77777777" w:rsidTr="000F14CC">
        <w:trPr>
          <w:trHeight w:hRule="exact" w:val="1123"/>
        </w:trPr>
        <w:tc>
          <w:tcPr>
            <w:tcW w:w="3823" w:type="dxa"/>
          </w:tcPr>
          <w:p w14:paraId="58791C8A" w14:textId="77777777" w:rsidR="009A49E9" w:rsidRPr="000F14CC" w:rsidRDefault="009A49E9" w:rsidP="00605822">
            <w:pPr>
              <w:pStyle w:val="aff3"/>
              <w:spacing w:after="0" w:line="276" w:lineRule="auto"/>
              <w:ind w:firstLine="0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Кабельный тестер + тональный генератор для кабеля «витой пары»</w:t>
            </w:r>
          </w:p>
        </w:tc>
        <w:tc>
          <w:tcPr>
            <w:tcW w:w="6095" w:type="dxa"/>
          </w:tcPr>
          <w:p w14:paraId="3948B53F" w14:textId="5A031487" w:rsidR="009A49E9" w:rsidRPr="000F14CC" w:rsidRDefault="009A49E9" w:rsidP="004B63E0">
            <w:pPr>
              <w:pStyle w:val="aff3"/>
              <w:spacing w:after="0" w:line="254" w:lineRule="auto"/>
              <w:ind w:firstLine="0"/>
              <w:jc w:val="both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Запрещается эксплуатация тестера с неисправными</w:t>
            </w:r>
            <w:r w:rsidR="004B63E0">
              <w:rPr>
                <w:sz w:val="28"/>
                <w:szCs w:val="28"/>
                <w:lang w:eastAsia="ru-RU" w:bidi="ru-RU"/>
              </w:rPr>
              <w:t xml:space="preserve"> </w:t>
            </w:r>
            <w:r w:rsidRPr="000F14CC">
              <w:rPr>
                <w:sz w:val="28"/>
                <w:szCs w:val="28"/>
                <w:lang w:eastAsia="ru-RU" w:bidi="ru-RU"/>
              </w:rPr>
              <w:t>аккумуляторными элементами питания</w:t>
            </w:r>
          </w:p>
        </w:tc>
      </w:tr>
      <w:tr w:rsidR="009A49E9" w:rsidRPr="00F7567E" w14:paraId="298CBB9E" w14:textId="77777777" w:rsidTr="000F14CC">
        <w:trPr>
          <w:trHeight w:hRule="exact" w:val="5817"/>
        </w:trPr>
        <w:tc>
          <w:tcPr>
            <w:tcW w:w="3823" w:type="dxa"/>
          </w:tcPr>
          <w:p w14:paraId="733CB884" w14:textId="77777777" w:rsidR="009A49E9" w:rsidRPr="000F14CC" w:rsidRDefault="009A49E9" w:rsidP="00605822">
            <w:pPr>
              <w:pStyle w:val="aff3"/>
              <w:spacing w:after="0"/>
              <w:ind w:firstLine="0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lastRenderedPageBreak/>
              <w:t>Шуруповёрт</w:t>
            </w:r>
          </w:p>
        </w:tc>
        <w:tc>
          <w:tcPr>
            <w:tcW w:w="6095" w:type="dxa"/>
          </w:tcPr>
          <w:p w14:paraId="6966B954" w14:textId="6A232EC0" w:rsidR="009A49E9" w:rsidRPr="000F14CC" w:rsidRDefault="009A49E9" w:rsidP="004B63E0">
            <w:pPr>
              <w:pStyle w:val="aff3"/>
              <w:tabs>
                <w:tab w:val="left" w:pos="1320"/>
                <w:tab w:val="left" w:pos="2856"/>
                <w:tab w:val="left" w:pos="3806"/>
                <w:tab w:val="left" w:pos="4819"/>
                <w:tab w:val="right" w:pos="5990"/>
              </w:tabs>
              <w:spacing w:after="0"/>
              <w:ind w:firstLine="0"/>
              <w:jc w:val="both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В</w:t>
            </w:r>
            <w:r w:rsidR="004B63E0">
              <w:rPr>
                <w:sz w:val="28"/>
                <w:szCs w:val="28"/>
                <w:lang w:eastAsia="ru-RU" w:bidi="ru-RU"/>
              </w:rPr>
              <w:t xml:space="preserve">ключать </w:t>
            </w:r>
            <w:proofErr w:type="spellStart"/>
            <w:r w:rsidR="004B63E0">
              <w:rPr>
                <w:sz w:val="28"/>
                <w:szCs w:val="28"/>
                <w:lang w:eastAsia="ru-RU" w:bidi="ru-RU"/>
              </w:rPr>
              <w:t>шуруповёрт</w:t>
            </w:r>
            <w:proofErr w:type="spellEnd"/>
            <w:r w:rsidR="004B63E0">
              <w:rPr>
                <w:sz w:val="28"/>
                <w:szCs w:val="28"/>
                <w:lang w:eastAsia="ru-RU" w:bidi="ru-RU"/>
              </w:rPr>
              <w:t xml:space="preserve"> можно только </w:t>
            </w:r>
            <w:bookmarkStart w:id="6" w:name="_GoBack"/>
            <w:bookmarkEnd w:id="6"/>
            <w:r w:rsidRPr="000F14CC">
              <w:rPr>
                <w:sz w:val="28"/>
                <w:szCs w:val="28"/>
                <w:lang w:eastAsia="ru-RU" w:bidi="ru-RU"/>
              </w:rPr>
              <w:t>после его</w:t>
            </w:r>
            <w:r w:rsidR="004B63E0">
              <w:rPr>
                <w:sz w:val="28"/>
                <w:szCs w:val="28"/>
              </w:rPr>
              <w:t xml:space="preserve"> </w:t>
            </w:r>
            <w:r w:rsidRPr="000F14CC">
              <w:rPr>
                <w:sz w:val="28"/>
                <w:szCs w:val="28"/>
                <w:lang w:eastAsia="ru-RU" w:bidi="ru-RU"/>
              </w:rPr>
              <w:t>визуальной проверки на предмет повреждений корпуса, подвижных частей, изоляции питающего кабеля.</w:t>
            </w:r>
          </w:p>
          <w:p w14:paraId="24E0BFE2" w14:textId="77777777" w:rsidR="009A49E9" w:rsidRPr="000F14CC" w:rsidRDefault="009A49E9" w:rsidP="00605822">
            <w:pPr>
              <w:pStyle w:val="aff3"/>
              <w:spacing w:after="0"/>
              <w:ind w:firstLine="0"/>
              <w:jc w:val="both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Установку насадок следует производить только на выключенном инструменте. Перед работой необходимо проверить прочность крепления насадки.</w:t>
            </w:r>
          </w:p>
          <w:p w14:paraId="2D477629" w14:textId="5334884C" w:rsidR="009A49E9" w:rsidRPr="000F14CC" w:rsidRDefault="009A49E9" w:rsidP="00605822">
            <w:pPr>
              <w:pStyle w:val="aff3"/>
              <w:spacing w:after="0"/>
              <w:ind w:firstLine="0"/>
              <w:jc w:val="both"/>
              <w:rPr>
                <w:sz w:val="28"/>
                <w:szCs w:val="28"/>
              </w:rPr>
            </w:pPr>
            <w:r w:rsidRPr="000F14CC">
              <w:rPr>
                <w:sz w:val="28"/>
                <w:szCs w:val="28"/>
                <w:lang w:eastAsia="ru-RU" w:bidi="ru-RU"/>
              </w:rPr>
              <w:t>Запрещается дотрагиваться до вращающихся частей электроинструмента. Нельзя останавливать вращающийся патрон вручную, а также необходимо следить за тем, чтобы он не захватил собой свободно свисающие элементы одежды или распущенные волосы.</w:t>
            </w:r>
            <w:r w:rsidRPr="000F14CC">
              <w:rPr>
                <w:sz w:val="28"/>
                <w:szCs w:val="28"/>
              </w:rPr>
              <w:t xml:space="preserve"> </w:t>
            </w:r>
            <w:r w:rsidRPr="000F14CC">
              <w:rPr>
                <w:sz w:val="28"/>
                <w:szCs w:val="28"/>
                <w:lang w:eastAsia="ru-RU" w:bidi="ru-RU"/>
              </w:rPr>
              <w:t>Необходимо следить, чтобы электрический инструмент не мог включиться самостоятельно, например, при</w:t>
            </w:r>
            <w:r w:rsidRPr="000F14CC">
              <w:rPr>
                <w:sz w:val="28"/>
                <w:szCs w:val="28"/>
              </w:rPr>
              <w:t xml:space="preserve"> </w:t>
            </w:r>
            <w:r w:rsidRPr="000F14CC">
              <w:rPr>
                <w:sz w:val="28"/>
                <w:szCs w:val="28"/>
                <w:lang w:eastAsia="ru-RU" w:bidi="ru-RU"/>
              </w:rPr>
              <w:t>случайном залипании клавиш</w:t>
            </w:r>
          </w:p>
        </w:tc>
      </w:tr>
    </w:tbl>
    <w:p w14:paraId="416F4A6E" w14:textId="77777777" w:rsidR="009A49E9" w:rsidRDefault="009A49E9" w:rsidP="009A49E9">
      <w:pPr>
        <w:pBdr>
          <w:top w:val="none" w:sz="0" w:space="14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7E1EC1E" w14:textId="7068F752" w:rsidR="000F14CC" w:rsidRPr="00F7567E" w:rsidRDefault="00A8114D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F14CC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конкурсанту</w:t>
      </w:r>
      <w:r w:rsidR="000F14CC">
        <w:rPr>
          <w:rFonts w:eastAsia="Times New Roman" w:cs="Times New Roman"/>
          <w:sz w:val="28"/>
          <w:szCs w:val="28"/>
          <w:lang w:bidi="ru-RU"/>
        </w:rPr>
        <w:t xml:space="preserve"> также н</w:t>
      </w:r>
      <w:r w:rsidR="000F14CC" w:rsidRPr="00F7567E">
        <w:rPr>
          <w:rFonts w:eastAsia="Times New Roman" w:cs="Times New Roman"/>
          <w:sz w:val="28"/>
          <w:szCs w:val="28"/>
          <w:lang w:bidi="ru-RU"/>
        </w:rPr>
        <w:t>еобходимо быть внимательным, не отвлекаться посторонними разговорами и делами, не отвлекать других участников;</w:t>
      </w:r>
    </w:p>
    <w:p w14:paraId="312C255F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соблюдать настоящую инструкцию;</w:t>
      </w:r>
    </w:p>
    <w:p w14:paraId="05A28BB3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7D611DE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поддерживать порядок и чистоту на рабочем месте;</w:t>
      </w:r>
    </w:p>
    <w:p w14:paraId="7A784231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рабочий инструмент располагать таким образом, чтобы исключалась возможность его скатывания и падения;</w:t>
      </w:r>
    </w:p>
    <w:p w14:paraId="72905C1E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выполнять конкурсные задания только исправным инструментом;</w:t>
      </w:r>
    </w:p>
    <w:p w14:paraId="272AD0BA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нельзя допускать, чтобы отходы (обломки) оптических волокон попадали на пол, монтажный стол и спецодежду, что может привести к ранению оптическими волокнами незащищенных участков кожи;</w:t>
      </w:r>
    </w:p>
    <w:p w14:paraId="309643B7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 xml:space="preserve">все операции по разделке и монтажу оптического кабеля (снятие полиэтиленовой оболочки, разделка и обработка </w:t>
      </w:r>
      <w:proofErr w:type="spellStart"/>
      <w:r w:rsidRPr="00F7567E">
        <w:rPr>
          <w:rFonts w:eastAsia="Times New Roman" w:cs="Times New Roman"/>
          <w:sz w:val="28"/>
          <w:szCs w:val="28"/>
          <w:lang w:bidi="ru-RU"/>
        </w:rPr>
        <w:t>бронепокрова</w:t>
      </w:r>
      <w:proofErr w:type="spellEnd"/>
      <w:r w:rsidRPr="00F7567E">
        <w:rPr>
          <w:rFonts w:eastAsia="Times New Roman" w:cs="Times New Roman"/>
          <w:sz w:val="28"/>
          <w:szCs w:val="28"/>
          <w:lang w:bidi="ru-RU"/>
        </w:rPr>
        <w:t xml:space="preserve">, подготовка и установка колец и т.д.) должны производиться с помощью специального </w:t>
      </w:r>
      <w:r w:rsidRPr="00F7567E">
        <w:rPr>
          <w:rFonts w:eastAsia="Times New Roman" w:cs="Times New Roman"/>
          <w:sz w:val="28"/>
          <w:szCs w:val="28"/>
          <w:lang w:bidi="ru-RU"/>
        </w:rPr>
        <w:lastRenderedPageBreak/>
        <w:t>инструмента и приспособлений, имеющихся в наборе инструментов в х/б перчатках, а при работе со специальными жидкостями в латексных перчатках;</w:t>
      </w:r>
    </w:p>
    <w:p w14:paraId="0FB09CA6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при выполнении монтажных работ следует помнить и соблюдать меры безопасности при работах с оптическим кабелем, которые определяются его механическими и геометрическими параметрами;</w:t>
      </w:r>
    </w:p>
    <w:p w14:paraId="057645A1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работа с неисправным и (или) плохо заточенным инструментом запрещается, рукоятки инструментов должны быть надежно закреплены;</w:t>
      </w:r>
    </w:p>
    <w:p w14:paraId="2559E33E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при работе с монтажными инструментами и инструментами ударного действия необходимо использовать защитные очки;</w:t>
      </w:r>
    </w:p>
    <w:p w14:paraId="046F8C61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подключение (отсоединение) оборудования к сети, его проверку, а также устранение неисправностей производится Экспертом;</w:t>
      </w:r>
    </w:p>
    <w:p w14:paraId="46692A52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запрещается работать электроинструментом, у которого истек срок периодической проверки, а также при возникновении хотя бы одной из следующих неисправностей:</w:t>
      </w:r>
    </w:p>
    <w:p w14:paraId="4B8977C3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повреждение штепсельного соединения, защитной оболочки кабеля;</w:t>
      </w:r>
    </w:p>
    <w:p w14:paraId="73C443DC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повреждение крышки корпуса;</w:t>
      </w:r>
    </w:p>
    <w:p w14:paraId="4B6C4ED3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появление дыма или запаха, характерного для горящей изоляции;</w:t>
      </w:r>
    </w:p>
    <w:p w14:paraId="1518D0E4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появление повышенного шума, стука, вибрации;</w:t>
      </w:r>
    </w:p>
    <w:p w14:paraId="7412854E" w14:textId="77777777" w:rsidR="000F14CC" w:rsidRPr="00F7567E" w:rsidRDefault="000F14CC" w:rsidP="000F14CC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 w:rsidRPr="00F7567E">
        <w:rPr>
          <w:rFonts w:eastAsia="Times New Roman" w:cs="Times New Roman"/>
          <w:sz w:val="28"/>
          <w:szCs w:val="28"/>
          <w:lang w:bidi="ru-RU"/>
        </w:rPr>
        <w:t>–</w:t>
      </w:r>
      <w:r w:rsidRPr="00F7567E">
        <w:rPr>
          <w:rFonts w:eastAsia="Times New Roman" w:cs="Times New Roman"/>
          <w:sz w:val="28"/>
          <w:szCs w:val="28"/>
          <w:lang w:bidi="ru-RU"/>
        </w:rPr>
        <w:tab/>
        <w:t>участникам запрещается разбирать, вносить изменения в конструкцию и ремонтировать инструмент, провод питания, штепсельные соединения и другие части электроинструмента.</w:t>
      </w:r>
    </w:p>
    <w:p w14:paraId="749324D9" w14:textId="77777777" w:rsidR="001A206B" w:rsidRPr="001915BC" w:rsidRDefault="00A8114D" w:rsidP="009A49E9">
      <w:pPr>
        <w:keepNext/>
        <w:keepLines/>
        <w:pBdr>
          <w:top w:val="none" w:sz="0" w:space="14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1915BC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1915BC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1915BC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9A49E9">
      <w:pPr>
        <w:pBdr>
          <w:top w:val="none" w:sz="0" w:space="14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9A49E9">
      <w:pPr>
        <w:pBdr>
          <w:top w:val="none" w:sz="0" w:space="14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9A49E9">
      <w:pPr>
        <w:pBdr>
          <w:top w:val="none" w:sz="0" w:space="14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9A49E9">
      <w:pPr>
        <w:pBdr>
          <w:top w:val="none" w:sz="0" w:space="14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16DE2997" w14:textId="0ACE8F30" w:rsidR="00BE1C72" w:rsidRPr="009A49E9" w:rsidRDefault="00BE1C72" w:rsidP="009A49E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E1C72">
        <w:rPr>
          <w:rFonts w:eastAsia="Times New Roman" w:cs="Times New Roman"/>
          <w:color w:val="000000"/>
          <w:sz w:val="28"/>
          <w:szCs w:val="28"/>
        </w:rPr>
        <w:lastRenderedPageBreak/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  <w:r w:rsidR="009A49E9">
        <w:rPr>
          <w:rFonts w:eastAsia="Times New Roman" w:cs="Times New Roman"/>
          <w:color w:val="000000"/>
          <w:sz w:val="28"/>
          <w:szCs w:val="28"/>
        </w:rPr>
        <w:t xml:space="preserve"> Н</w:t>
      </w:r>
      <w:r w:rsidRPr="009A49E9">
        <w:rPr>
          <w:rFonts w:eastAsia="Times New Roman" w:cs="Times New Roman"/>
          <w:color w:val="000000"/>
          <w:sz w:val="28"/>
          <w:szCs w:val="28"/>
        </w:rPr>
        <w:t>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3EE54E7" w14:textId="77777777" w:rsidR="00BE1C72" w:rsidRPr="00BE1C72" w:rsidRDefault="00BE1C72" w:rsidP="00BE1C7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E1C72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1915BC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1915BC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239D135" w14:textId="7FC4E475" w:rsidR="002515C9" w:rsidRPr="002515C9" w:rsidRDefault="00A8114D" w:rsidP="002515C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</w:t>
      </w:r>
      <w:r w:rsidR="002515C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515C9">
        <w:rPr>
          <w:rFonts w:eastAsia="Times New Roman" w:cs="Times New Roman"/>
          <w:sz w:val="28"/>
          <w:szCs w:val="28"/>
          <w:lang w:bidi="ru-RU"/>
        </w:rPr>
        <w:t>п</w:t>
      </w:r>
      <w:r w:rsidR="002515C9" w:rsidRPr="00F7567E">
        <w:rPr>
          <w:rFonts w:eastAsia="Times New Roman" w:cs="Times New Roman"/>
          <w:sz w:val="28"/>
          <w:szCs w:val="28"/>
          <w:lang w:bidi="ru-RU"/>
        </w:rPr>
        <w:t>ривести в порядок рабочее место.</w:t>
      </w:r>
    </w:p>
    <w:p w14:paraId="4F1B8C7C" w14:textId="707E20E3" w:rsidR="002515C9" w:rsidRPr="00F7567E" w:rsidRDefault="002515C9" w:rsidP="002515C9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>
        <w:rPr>
          <w:rFonts w:eastAsia="Times New Roman" w:cs="Times New Roman"/>
          <w:sz w:val="28"/>
          <w:szCs w:val="28"/>
          <w:lang w:bidi="ru-RU"/>
        </w:rPr>
        <w:t>7</w:t>
      </w:r>
      <w:r w:rsidRPr="00F7567E">
        <w:rPr>
          <w:rFonts w:eastAsia="Times New Roman" w:cs="Times New Roman"/>
          <w:sz w:val="28"/>
          <w:szCs w:val="28"/>
          <w:lang w:bidi="ru-RU"/>
        </w:rPr>
        <w:t>.2.</w:t>
      </w:r>
      <w:r>
        <w:rPr>
          <w:rFonts w:eastAsia="Times New Roman" w:cs="Times New Roman"/>
          <w:sz w:val="28"/>
          <w:szCs w:val="28"/>
          <w:lang w:bidi="ru-RU"/>
        </w:rPr>
        <w:t xml:space="preserve"> </w:t>
      </w:r>
      <w:r w:rsidRPr="00F7567E">
        <w:rPr>
          <w:rFonts w:eastAsia="Times New Roman" w:cs="Times New Roman"/>
          <w:sz w:val="28"/>
          <w:szCs w:val="28"/>
          <w:lang w:bidi="ru-RU"/>
        </w:rPr>
        <w:t>Убрать средства индивидуальной защиты в отведенное для хранений место.</w:t>
      </w:r>
    </w:p>
    <w:p w14:paraId="6EE94DA8" w14:textId="3E2AF6A5" w:rsidR="002515C9" w:rsidRPr="00F7567E" w:rsidRDefault="002515C9" w:rsidP="002515C9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>
        <w:rPr>
          <w:rFonts w:eastAsia="Times New Roman" w:cs="Times New Roman"/>
          <w:sz w:val="28"/>
          <w:szCs w:val="28"/>
          <w:lang w:bidi="ru-RU"/>
        </w:rPr>
        <w:t>7</w:t>
      </w:r>
      <w:r w:rsidRPr="00F7567E">
        <w:rPr>
          <w:rFonts w:eastAsia="Times New Roman" w:cs="Times New Roman"/>
          <w:sz w:val="28"/>
          <w:szCs w:val="28"/>
          <w:lang w:bidi="ru-RU"/>
        </w:rPr>
        <w:t>.3.</w:t>
      </w:r>
      <w:r>
        <w:rPr>
          <w:rFonts w:eastAsia="Times New Roman" w:cs="Times New Roman"/>
          <w:sz w:val="28"/>
          <w:szCs w:val="28"/>
          <w:lang w:bidi="ru-RU"/>
        </w:rPr>
        <w:t xml:space="preserve"> </w:t>
      </w:r>
      <w:r w:rsidRPr="00F7567E">
        <w:rPr>
          <w:rFonts w:eastAsia="Times New Roman" w:cs="Times New Roman"/>
          <w:sz w:val="28"/>
          <w:szCs w:val="28"/>
          <w:lang w:bidi="ru-RU"/>
        </w:rPr>
        <w:t>Отключить инструмент и оборудование от сети.</w:t>
      </w:r>
    </w:p>
    <w:p w14:paraId="0755135B" w14:textId="1E188B33" w:rsidR="002515C9" w:rsidRPr="00F7567E" w:rsidRDefault="002515C9" w:rsidP="002515C9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>
        <w:rPr>
          <w:rFonts w:eastAsia="Times New Roman" w:cs="Times New Roman"/>
          <w:sz w:val="28"/>
          <w:szCs w:val="28"/>
          <w:lang w:bidi="ru-RU"/>
        </w:rPr>
        <w:t>7</w:t>
      </w:r>
      <w:r w:rsidRPr="00F7567E">
        <w:rPr>
          <w:rFonts w:eastAsia="Times New Roman" w:cs="Times New Roman"/>
          <w:sz w:val="28"/>
          <w:szCs w:val="28"/>
          <w:lang w:bidi="ru-RU"/>
        </w:rPr>
        <w:t>.4.</w:t>
      </w:r>
      <w:r>
        <w:rPr>
          <w:rFonts w:eastAsia="Times New Roman" w:cs="Times New Roman"/>
          <w:sz w:val="28"/>
          <w:szCs w:val="28"/>
          <w:lang w:bidi="ru-RU"/>
        </w:rPr>
        <w:t xml:space="preserve"> </w:t>
      </w:r>
      <w:r w:rsidRPr="00F7567E">
        <w:rPr>
          <w:rFonts w:eastAsia="Times New Roman" w:cs="Times New Roman"/>
          <w:sz w:val="28"/>
          <w:szCs w:val="28"/>
          <w:lang w:bidi="ru-RU"/>
        </w:rPr>
        <w:t>Инструмент убрать в специально предназначенное для хранений место.</w:t>
      </w:r>
    </w:p>
    <w:p w14:paraId="74103E89" w14:textId="64052361" w:rsidR="001A206B" w:rsidRPr="002515C9" w:rsidRDefault="002515C9" w:rsidP="002515C9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ru-RU"/>
        </w:rPr>
      </w:pPr>
      <w:r>
        <w:rPr>
          <w:rFonts w:eastAsia="Times New Roman" w:cs="Times New Roman"/>
          <w:sz w:val="28"/>
          <w:szCs w:val="28"/>
          <w:lang w:bidi="ru-RU"/>
        </w:rPr>
        <w:lastRenderedPageBreak/>
        <w:t>7</w:t>
      </w:r>
      <w:r w:rsidRPr="00F7567E">
        <w:rPr>
          <w:rFonts w:eastAsia="Times New Roman" w:cs="Times New Roman"/>
          <w:sz w:val="28"/>
          <w:szCs w:val="28"/>
          <w:lang w:bidi="ru-RU"/>
        </w:rPr>
        <w:t>.5.</w:t>
      </w:r>
      <w:r>
        <w:rPr>
          <w:rFonts w:eastAsia="Times New Roman" w:cs="Times New Roman"/>
          <w:sz w:val="28"/>
          <w:szCs w:val="28"/>
          <w:lang w:bidi="ru-RU"/>
        </w:rPr>
        <w:t xml:space="preserve"> </w:t>
      </w:r>
      <w:r w:rsidRPr="00F7567E">
        <w:rPr>
          <w:rFonts w:eastAsia="Times New Roman" w:cs="Times New Roman"/>
          <w:sz w:val="28"/>
          <w:szCs w:val="28"/>
          <w:lang w:bidi="ru-RU"/>
        </w:rPr>
        <w:t xml:space="preserve">Сообщить </w:t>
      </w:r>
      <w:r>
        <w:rPr>
          <w:rFonts w:eastAsia="Times New Roman" w:cs="Times New Roman"/>
          <w:color w:val="000000"/>
          <w:sz w:val="28"/>
          <w:szCs w:val="28"/>
        </w:rPr>
        <w:t>главному</w:t>
      </w:r>
      <w:r w:rsidRPr="00F7567E">
        <w:rPr>
          <w:rFonts w:eastAsia="Times New Roman" w:cs="Times New Roman"/>
          <w:sz w:val="28"/>
          <w:szCs w:val="28"/>
          <w:lang w:bidi="ru-RU"/>
        </w:rPr>
        <w:t xml:space="preserve"> эксперт</w:t>
      </w:r>
      <w:r>
        <w:rPr>
          <w:rFonts w:eastAsia="Times New Roman" w:cs="Times New Roman"/>
          <w:sz w:val="28"/>
          <w:szCs w:val="28"/>
          <w:lang w:bidi="ru-RU"/>
        </w:rPr>
        <w:t>у</w:t>
      </w:r>
      <w:r w:rsidRPr="00F7567E">
        <w:rPr>
          <w:rFonts w:eastAsia="Times New Roman" w:cs="Times New Roman"/>
          <w:sz w:val="28"/>
          <w:szCs w:val="28"/>
          <w:lang w:bidi="ru-RU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2515C9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240DB" w14:textId="77777777" w:rsidR="006A66C6" w:rsidRDefault="006A66C6">
      <w:pPr>
        <w:spacing w:line="240" w:lineRule="auto"/>
      </w:pPr>
      <w:r>
        <w:separator/>
      </w:r>
    </w:p>
  </w:endnote>
  <w:endnote w:type="continuationSeparator" w:id="0">
    <w:p w14:paraId="411B60D7" w14:textId="77777777" w:rsidR="006A66C6" w:rsidRDefault="006A66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78737ED9" w:rsidR="001A206B" w:rsidRPr="001915BC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1915BC">
      <w:rPr>
        <w:rFonts w:cs="Times New Roman"/>
        <w:color w:val="000000"/>
        <w:sz w:val="22"/>
        <w:szCs w:val="22"/>
      </w:rPr>
      <w:fldChar w:fldCharType="begin"/>
    </w:r>
    <w:r w:rsidRPr="001915BC">
      <w:rPr>
        <w:rFonts w:cs="Times New Roman"/>
        <w:color w:val="000000"/>
        <w:sz w:val="22"/>
        <w:szCs w:val="22"/>
      </w:rPr>
      <w:instrText>PAGE</w:instrText>
    </w:r>
    <w:r w:rsidRPr="001915BC">
      <w:rPr>
        <w:rFonts w:cs="Times New Roman"/>
        <w:color w:val="000000"/>
        <w:sz w:val="22"/>
        <w:szCs w:val="22"/>
      </w:rPr>
      <w:fldChar w:fldCharType="separate"/>
    </w:r>
    <w:r w:rsidR="004B63E0">
      <w:rPr>
        <w:rFonts w:cs="Times New Roman"/>
        <w:noProof/>
        <w:color w:val="000000"/>
        <w:sz w:val="22"/>
        <w:szCs w:val="22"/>
      </w:rPr>
      <w:t>2</w:t>
    </w:r>
    <w:r w:rsidRPr="001915BC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31399" w14:textId="77777777" w:rsidR="006A66C6" w:rsidRDefault="006A66C6">
      <w:pPr>
        <w:spacing w:line="240" w:lineRule="auto"/>
      </w:pPr>
      <w:r>
        <w:separator/>
      </w:r>
    </w:p>
  </w:footnote>
  <w:footnote w:type="continuationSeparator" w:id="0">
    <w:p w14:paraId="6C5CC6E3" w14:textId="77777777" w:rsidR="006A66C6" w:rsidRDefault="006A66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F14CC"/>
    <w:rsid w:val="00145BE7"/>
    <w:rsid w:val="001575CD"/>
    <w:rsid w:val="001915BC"/>
    <w:rsid w:val="00192468"/>
    <w:rsid w:val="00195C80"/>
    <w:rsid w:val="001A206B"/>
    <w:rsid w:val="002515C9"/>
    <w:rsid w:val="00305216"/>
    <w:rsid w:val="00325995"/>
    <w:rsid w:val="004B63E0"/>
    <w:rsid w:val="00584FB3"/>
    <w:rsid w:val="006A66C6"/>
    <w:rsid w:val="007B6E00"/>
    <w:rsid w:val="008865E6"/>
    <w:rsid w:val="008928D4"/>
    <w:rsid w:val="009269AB"/>
    <w:rsid w:val="00940A53"/>
    <w:rsid w:val="009A49E9"/>
    <w:rsid w:val="00A708E9"/>
    <w:rsid w:val="00A7162A"/>
    <w:rsid w:val="00A8114D"/>
    <w:rsid w:val="00B366B4"/>
    <w:rsid w:val="00BE1C72"/>
    <w:rsid w:val="00C71AAB"/>
    <w:rsid w:val="00CB0742"/>
    <w:rsid w:val="00D037A5"/>
    <w:rsid w:val="00D12B74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f2">
    <w:name w:val="Другое_"/>
    <w:basedOn w:val="a0"/>
    <w:link w:val="aff3"/>
    <w:rsid w:val="009A49E9"/>
    <w:rPr>
      <w:rFonts w:ascii="Times New Roman" w:eastAsia="Times New Roman" w:hAnsi="Times New Roman" w:cs="Times New Roman"/>
    </w:rPr>
  </w:style>
  <w:style w:type="paragraph" w:customStyle="1" w:styleId="aff3">
    <w:name w:val="Другое"/>
    <w:basedOn w:val="a"/>
    <w:link w:val="aff2"/>
    <w:rsid w:val="009A49E9"/>
    <w:pPr>
      <w:widowControl w:val="0"/>
      <w:spacing w:after="100" w:line="240" w:lineRule="auto"/>
      <w:ind w:firstLine="400"/>
      <w:outlineLvl w:val="9"/>
    </w:pPr>
    <w:rPr>
      <w:rFonts w:eastAsia="Times New Roman" w:cs="Times New Roman"/>
      <w:position w:val="0"/>
      <w:sz w:val="20"/>
      <w:szCs w:val="20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191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3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12</Pages>
  <Words>2434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wsr</cp:lastModifiedBy>
  <cp:revision>4</cp:revision>
  <dcterms:created xsi:type="dcterms:W3CDTF">2023-10-10T08:16:00Z</dcterms:created>
  <dcterms:modified xsi:type="dcterms:W3CDTF">2024-09-06T05:49:00Z</dcterms:modified>
</cp:coreProperties>
</file>