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</w:sdtContent>
    </w:sdt>
    <w:p w:rsidR="00A368D9" w:rsidRPr="00A368D9" w:rsidRDefault="00A368D9" w:rsidP="00A36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368D9">
        <w:rPr>
          <w:rFonts w:ascii="Times New Roman" w:hAnsi="Times New Roman" w:cs="Times New Roman"/>
          <w:bCs/>
          <w:sz w:val="36"/>
          <w:szCs w:val="36"/>
        </w:rPr>
        <w:t>по компетенции «Художественная роспись по дереву»</w:t>
      </w:r>
    </w:p>
    <w:p w:rsidR="00A368D9" w:rsidRPr="00A368D9" w:rsidRDefault="002A3326" w:rsidP="00A36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региональный</w:t>
      </w:r>
      <w:r w:rsidR="00A368D9" w:rsidRPr="00A368D9">
        <w:rPr>
          <w:rFonts w:ascii="Times New Roman" w:hAnsi="Times New Roman" w:cs="Times New Roman"/>
          <w:bCs/>
          <w:sz w:val="36"/>
          <w:szCs w:val="36"/>
        </w:rPr>
        <w:t xml:space="preserve"> этап Чемпионата по профессиональному мастерству «Профессионалы»</w:t>
      </w:r>
    </w:p>
    <w:p w:rsidR="00A368D9" w:rsidRPr="00A368D9" w:rsidRDefault="002A3326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_____________________________________</w:t>
      </w:r>
    </w:p>
    <w:p w:rsidR="00A368D9" w:rsidRPr="00A802AF" w:rsidRDefault="00A368D9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A368D9" w:rsidRDefault="00A368D9" w:rsidP="00A368D9"/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Pr="00A368D9" w:rsidRDefault="002A3326" w:rsidP="00A368D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1C5427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C5427" w:rsidRPr="00A204BB" w:rsidRDefault="001C5427" w:rsidP="001C542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D70959" w:rsidRDefault="00056AD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1C5427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109960" w:history="1">
        <w:r w:rsidR="00D70959" w:rsidRPr="0077036E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_Toc167109960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3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1" w:history="1">
        <w:r w:rsidR="00D70959" w:rsidRPr="0077036E">
          <w:rPr>
            <w:rStyle w:val="ae"/>
            <w:noProof/>
          </w:rPr>
          <w:t>1.1. Общие сведения о требованиях компетенции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_Toc167109961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3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2" w:history="1">
        <w:r w:rsidR="00D70959" w:rsidRPr="0077036E">
          <w:rPr>
            <w:rStyle w:val="ae"/>
            <w:noProof/>
          </w:rPr>
          <w:t>1.2. Перечень профессиональных задач специалиста по компетенции «Художественная роспись по дереву»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_Toc167109962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3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3" w:history="1">
        <w:r w:rsidR="00D70959" w:rsidRPr="0077036E">
          <w:rPr>
            <w:rStyle w:val="ae"/>
            <w:noProof/>
          </w:rPr>
          <w:t>1.3. Требования к схеме оценки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_Toc167109963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8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4" w:history="1">
        <w:r w:rsidR="00D70959" w:rsidRPr="0077036E">
          <w:rPr>
            <w:rStyle w:val="ae"/>
            <w:noProof/>
          </w:rPr>
          <w:t>1.4. Спецификация оценки компетенции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_Toc167109964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8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5" w:history="1">
        <w:r w:rsidR="00D70959" w:rsidRPr="0077036E">
          <w:rPr>
            <w:rStyle w:val="ae"/>
            <w:noProof/>
          </w:rPr>
          <w:t>1.5.2. Структура модулей конкурсного задания (инвариант/вариатив)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_Toc167109965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10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6" w:history="1">
        <w:r w:rsidR="00D70959" w:rsidRPr="0077036E">
          <w:rPr>
            <w:rStyle w:val="ae"/>
            <w:iCs/>
            <w:noProof/>
          </w:rPr>
          <w:t>2. СПЕЦИАЛЬНЫЕ ПРАВИЛА КОМПЕТЕНЦИИ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_Toc167109966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11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7" w:history="1">
        <w:r w:rsidR="00D70959" w:rsidRPr="0077036E">
          <w:rPr>
            <w:rStyle w:val="ae"/>
            <w:noProof/>
          </w:rPr>
          <w:t xml:space="preserve">2.1. </w:t>
        </w:r>
        <w:r w:rsidR="00D70959" w:rsidRPr="0077036E">
          <w:rPr>
            <w:rStyle w:val="ae"/>
            <w:bCs/>
            <w:iCs/>
            <w:noProof/>
          </w:rPr>
          <w:t>Личный инструмент конкурсанта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_Toc167109967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11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8" w:history="1">
        <w:r w:rsidR="00D70959" w:rsidRPr="0077036E">
          <w:rPr>
            <w:rStyle w:val="ae"/>
            <w:noProof/>
          </w:rPr>
          <w:t>2.2. Материалы, оборудование и инструменты, запрещенные на площадке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_Toc167109968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12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491C3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7109969" w:history="1">
        <w:r w:rsidR="00D70959" w:rsidRPr="0077036E">
          <w:rPr>
            <w:rStyle w:val="ae"/>
            <w:rFonts w:ascii="Times New Roman" w:hAnsi="Times New Roman"/>
            <w:noProof/>
          </w:rPr>
          <w:t>3. ПРИЛОЖЕНИЯ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_Toc167109969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12</w:t>
        </w:r>
        <w:r w:rsidR="00D70959">
          <w:rPr>
            <w:noProof/>
            <w:webHidden/>
          </w:rPr>
          <w:fldChar w:fldCharType="end"/>
        </w:r>
      </w:hyperlink>
    </w:p>
    <w:p w:rsidR="00A368D9" w:rsidRPr="00A368D9" w:rsidRDefault="00056AD6" w:rsidP="00D70959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r w:rsidRPr="00976338">
        <w:rPr>
          <w:bCs/>
          <w:sz w:val="24"/>
        </w:rPr>
        <w:fldChar w:fldCharType="end"/>
      </w:r>
    </w:p>
    <w:p w:rsidR="00AA2B8A" w:rsidRPr="00A204BB" w:rsidRDefault="00AA2B8A" w:rsidP="001C54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368D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70959" w:rsidRDefault="00D7095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4502046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Style w:val="bullet"/>
              <w:numPr>
                <w:ilvl w:val="0"/>
                <w:numId w:val="0"/>
              </w:numPr>
              <w:spacing w:line="240" w:lineRule="auto"/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</w:pPr>
            <w:r w:rsidRPr="00034739"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  <w:t>Федеральный государственный образовательный стандарт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rFonts w:eastAsia="Segoe UI"/>
                <w:i/>
                <w:sz w:val="28"/>
                <w:szCs w:val="28"/>
                <w:lang w:bidi="en-US"/>
              </w:rPr>
              <w:t>Профессиональный стандарт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ХР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Художественная роспись</w:t>
            </w:r>
          </w:p>
        </w:tc>
      </w:tr>
    </w:tbl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739" w:rsidRDefault="0003473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" w:name="_Toc124422965"/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6710996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67109961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bookmarkEnd w:id="3"/>
      <w:r w:rsidR="00205830">
        <w:rPr>
          <w:rFonts w:ascii="Times New Roman" w:hAnsi="Times New Roman"/>
          <w:sz w:val="24"/>
        </w:rPr>
        <w:t>Общие сведения о требованиях компетенции</w:t>
      </w:r>
      <w:bookmarkEnd w:id="4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C5427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дереву» </w:t>
      </w:r>
      <w:bookmarkStart w:id="5" w:name="_Hlk123050441"/>
      <w:bookmarkStart w:id="6" w:name="_GoBack"/>
      <w:bookmarkEnd w:id="6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1C5427" w:rsidRPr="0015042D" w:rsidRDefault="00270E01" w:rsidP="001C54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7" w:name="_Toc78885652"/>
      <w:bookmarkStart w:id="8" w:name="_Toc124422967"/>
      <w:bookmarkStart w:id="9" w:name="_Toc167109962"/>
      <w:r w:rsidRPr="0015042D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15042D">
        <w:rPr>
          <w:rFonts w:ascii="Times New Roman" w:hAnsi="Times New Roman"/>
          <w:color w:val="000000"/>
          <w:sz w:val="24"/>
          <w:lang w:val="ru-RU"/>
        </w:rPr>
        <w:t>.</w:t>
      </w:r>
      <w:bookmarkEnd w:id="7"/>
      <w:r w:rsidRPr="0015042D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="00486E5E" w:rsidRPr="0015042D">
        <w:rPr>
          <w:rFonts w:ascii="Times New Roman" w:hAnsi="Times New Roman"/>
          <w:color w:val="000000"/>
          <w:sz w:val="24"/>
          <w:lang w:val="ru-RU"/>
        </w:rPr>
        <w:t xml:space="preserve">Перечень профессиональных задач специалиста по компетенции </w:t>
      </w:r>
      <w:bookmarkEnd w:id="8"/>
      <w:r w:rsidR="001C5427" w:rsidRPr="0015042D">
        <w:rPr>
          <w:rFonts w:ascii="Times New Roman" w:hAnsi="Times New Roman"/>
          <w:color w:val="000000"/>
          <w:sz w:val="24"/>
          <w:lang w:val="ru-RU"/>
        </w:rPr>
        <w:t>«Художественная роспись по дереву»</w:t>
      </w:r>
      <w:bookmarkEnd w:id="9"/>
    </w:p>
    <w:p w:rsidR="00DF112E" w:rsidRDefault="00DF112E" w:rsidP="00DF112E"/>
    <w:p w:rsidR="00DF112E" w:rsidRPr="00D70959" w:rsidRDefault="00DF112E" w:rsidP="00D70959">
      <w:pPr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0" w:name="_Toc136265305"/>
      <w:r w:rsidRPr="00D70959">
        <w:rPr>
          <w:rFonts w:ascii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  <w:bookmarkEnd w:id="10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822ED" w:rsidRPr="00DB5CD8" w:rsidTr="006210AB">
        <w:tc>
          <w:tcPr>
            <w:tcW w:w="330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F9602B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техники безопасности при организации рабочего места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-правильно утилизировать отработанные лакокрасочные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материалы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инструкции производителя при использовании оборудования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организовать рабочее место в соответствии с правилами охраны труда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рационально распределять рабочее время с учетом каждого этапа работы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оборудование безопасно и в соответствии с инструкциями производителя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во время выполнения работ поддерживать порядок на рабочем месте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после работы убирать рабочее место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чистоту и аккуратность при росписи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технологические карты выполнения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(например: древесина липы, масло), о функционале (назначении)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предоставлять экспертные консультации по изделиям декоративно-прикладного искусства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 (тычок, перо, кисть и др.)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обрабатывать фотографии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презентовать изделия клиенту через Интернет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характеристики лакокрасочных материалов (свето- и термостойкость, укрывистость, разбавитель, время высыхания);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различные красочные составы в соответствии с видом росписи и техническими характеристиками (свето- и термостойкость, укрывистость, разбавитель, время высыхания)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строго по назначению различные виды лаков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алгоритм выполнения росписи изделий из 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декорирования орнамента (разживка, оживка, написание усиков или травочных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соблюдать алгоритм выполнения росписи изделия из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четко и тонко наводить пояски на изделии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отводку готового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1" w:name="_Toc78885655"/>
      <w:bookmarkStart w:id="12" w:name="_Toc124422968"/>
      <w:bookmarkStart w:id="13" w:name="_Toc16710996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15042D">
        <w:rPr>
          <w:rFonts w:ascii="Times New Roman" w:hAnsi="Times New Roman"/>
          <w:color w:val="000000"/>
          <w:sz w:val="24"/>
          <w:lang w:val="ru-RU"/>
        </w:rPr>
        <w:t>Т</w:t>
      </w:r>
      <w:r w:rsidR="0015042D" w:rsidRPr="00D17132">
        <w:rPr>
          <w:rFonts w:ascii="Times New Roman" w:hAnsi="Times New Roman"/>
          <w:color w:val="000000"/>
          <w:sz w:val="24"/>
          <w:lang w:val="ru-RU"/>
        </w:rPr>
        <w:t>ребования к схеме оценки</w:t>
      </w:r>
      <w:bookmarkEnd w:id="11"/>
      <w:bookmarkEnd w:id="12"/>
      <w:bookmarkEnd w:id="13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9602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1082"/>
        <w:gridCol w:w="1001"/>
        <w:gridCol w:w="1001"/>
        <w:gridCol w:w="1001"/>
        <w:gridCol w:w="918"/>
        <w:gridCol w:w="2750"/>
      </w:tblGrid>
      <w:tr w:rsidR="000822ED" w:rsidRPr="00613219" w:rsidTr="006210AB">
        <w:trPr>
          <w:trHeight w:val="1538"/>
          <w:jc w:val="center"/>
        </w:trPr>
        <w:tc>
          <w:tcPr>
            <w:tcW w:w="3604" w:type="pct"/>
            <w:gridSpan w:val="6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6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49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9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822ED" w:rsidRPr="00613219" w:rsidTr="006210AB">
        <w:trPr>
          <w:trHeight w:val="516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614" w:type="pct"/>
            <w:gridSpan w:val="2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0822ED" w:rsidRPr="00F8340A" w:rsidRDefault="000822E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DE39D8" w:rsidRPr="007604F9" w:rsidRDefault="0015042D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4" w:name="_Toc124422969"/>
      <w:bookmarkStart w:id="15" w:name="_Toc16710996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 С</w:t>
      </w:r>
      <w:r w:rsidRPr="007604F9">
        <w:rPr>
          <w:rFonts w:ascii="Times New Roman" w:hAnsi="Times New Roman"/>
          <w:sz w:val="24"/>
        </w:rPr>
        <w:t>пецификация оценки компетенции</w:t>
      </w:r>
      <w:bookmarkEnd w:id="14"/>
      <w:bookmarkEnd w:id="15"/>
    </w:p>
    <w:p w:rsidR="00613219" w:rsidRDefault="00DE39D8" w:rsidP="00567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745FD" w:rsidRPr="009D04EE" w:rsidTr="006210AB">
        <w:tc>
          <w:tcPr>
            <w:tcW w:w="1851" w:type="pct"/>
            <w:gridSpan w:val="2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745FD" w:rsidRDefault="002525EE" w:rsidP="0007667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B5CD8">
              <w:rPr>
                <w:b/>
                <w:sz w:val="26"/>
                <w:szCs w:val="26"/>
              </w:rPr>
              <w:t>Выполнение хохломской росписи на деревянном изделии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E13CF" w:rsidRPr="009E13CF" w:rsidRDefault="009E13CF" w:rsidP="009E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r w:rsidRPr="00FA423A">
              <w:rPr>
                <w:sz w:val="28"/>
                <w:szCs w:val="28"/>
              </w:rPr>
              <w:t>астительно-травочный</w:t>
            </w:r>
            <w:r>
              <w:rPr>
                <w:sz w:val="28"/>
                <w:szCs w:val="28"/>
              </w:rPr>
              <w:t xml:space="preserve"> орнамент)</w:t>
            </w:r>
          </w:p>
          <w:p w:rsidR="009E13CF" w:rsidRPr="004904C5" w:rsidRDefault="009E13CF" w:rsidP="000766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 w:rsidR="002525EE">
              <w:rPr>
                <w:color w:val="000000"/>
                <w:sz w:val="24"/>
                <w:szCs w:val="24"/>
              </w:rPr>
              <w:t xml:space="preserve"> цветочного орнамента</w:t>
            </w:r>
            <w:r w:rsidR="00FD452F">
              <w:rPr>
                <w:color w:val="000000"/>
                <w:sz w:val="24"/>
                <w:szCs w:val="24"/>
              </w:rPr>
              <w:t xml:space="preserve"> с обогащением</w:t>
            </w:r>
          </w:p>
          <w:p w:rsidR="009E13CF" w:rsidRPr="00B879F8" w:rsidRDefault="009E13CF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Гармонично выстроенный орнамент</w:t>
            </w:r>
          </w:p>
          <w:p w:rsidR="009E13CF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745FD" w:rsidRPr="00B879F8">
              <w:rPr>
                <w:color w:val="000000"/>
                <w:sz w:val="24"/>
                <w:szCs w:val="24"/>
              </w:rPr>
              <w:t>перации хохломской росписи</w:t>
            </w:r>
          </w:p>
          <w:p w:rsidR="009E13CF" w:rsidRPr="00B879F8" w:rsidRDefault="009E13CF" w:rsidP="009E13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Выполнение наляпки, разживки элементов </w:t>
            </w:r>
          </w:p>
          <w:p w:rsidR="000745FD" w:rsidRPr="00B879F8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ведущей линии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Декорирование </w:t>
            </w:r>
            <w:r w:rsidR="002525EE">
              <w:rPr>
                <w:color w:val="000000"/>
                <w:sz w:val="24"/>
                <w:szCs w:val="24"/>
              </w:rPr>
              <w:t>орнамента</w:t>
            </w:r>
          </w:p>
          <w:p w:rsidR="00567805" w:rsidRPr="005C6DC0" w:rsidRDefault="000745FD" w:rsidP="009E13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Работа с электрическими приборами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2525E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6E48F7">
              <w:rPr>
                <w:b/>
                <w:color w:val="000000"/>
                <w:sz w:val="26"/>
                <w:szCs w:val="26"/>
              </w:rPr>
              <w:t xml:space="preserve">Выполнение росписи на токарном изделии </w:t>
            </w:r>
            <w:r w:rsidR="00567805">
              <w:rPr>
                <w:b/>
                <w:color w:val="000000"/>
                <w:sz w:val="26"/>
                <w:szCs w:val="26"/>
              </w:rPr>
              <w:t>(матрёшка)</w:t>
            </w:r>
            <w:r w:rsidR="00A00DCA">
              <w:rPr>
                <w:b/>
                <w:color w:val="000000"/>
                <w:sz w:val="26"/>
                <w:szCs w:val="26"/>
              </w:rPr>
              <w:t xml:space="preserve"> (т</w:t>
            </w:r>
            <w:r w:rsidR="00A00DCA">
              <w:rPr>
                <w:sz w:val="28"/>
                <w:szCs w:val="28"/>
              </w:rPr>
              <w:t>радиционный городецкий орнамент)</w:t>
            </w:r>
          </w:p>
          <w:p w:rsidR="000745FD" w:rsidRPr="00567805" w:rsidRDefault="000745FD" w:rsidP="002525EE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цветочного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элементов обогащения</w:t>
            </w:r>
          </w:p>
          <w:p w:rsidR="000745FD" w:rsidRPr="00B879F8" w:rsidRDefault="000745FD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Крытьё платочка, сарафана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Наляпка, разживка цветочных элементов</w:t>
            </w:r>
          </w:p>
          <w:p w:rsidR="00CE70AA" w:rsidRPr="00B879F8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Наляпка, разживка цветочного букета, цветочных элементов</w:t>
            </w:r>
          </w:p>
          <w:p w:rsidR="00CE70AA" w:rsidRPr="005C6DC0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токарного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B5CD8">
              <w:rPr>
                <w:b/>
                <w:sz w:val="26"/>
                <w:szCs w:val="26"/>
              </w:rPr>
              <w:t xml:space="preserve">Выполнение </w:t>
            </w:r>
            <w:r w:rsidR="00567805">
              <w:rPr>
                <w:b/>
                <w:sz w:val="26"/>
                <w:szCs w:val="26"/>
              </w:rPr>
              <w:t>традиционной росписи</w:t>
            </w:r>
          </w:p>
          <w:p w:rsidR="00A00DCA" w:rsidRPr="00A00DCA" w:rsidRDefault="00A00DCA" w:rsidP="006210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DCA">
              <w:rPr>
                <w:sz w:val="26"/>
                <w:szCs w:val="26"/>
              </w:rPr>
              <w:t>(мезенская роспись)</w:t>
            </w:r>
          </w:p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567805" w:rsidRDefault="00567805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:rsidR="002F605A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Подмалевка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(замалевк</w:t>
            </w:r>
            <w:r w:rsidRPr="00F937D3">
              <w:rPr>
                <w:color w:val="000000"/>
                <w:sz w:val="24"/>
                <w:szCs w:val="24"/>
              </w:rPr>
              <w:t>а, намалевка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и др.)</w:t>
            </w:r>
            <w:r w:rsidRPr="00F937D3">
              <w:rPr>
                <w:color w:val="000000"/>
                <w:sz w:val="24"/>
                <w:szCs w:val="24"/>
              </w:rPr>
              <w:t xml:space="preserve"> орнамента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</w:t>
            </w:r>
            <w:r w:rsidR="00F937D3" w:rsidRPr="00F937D3">
              <w:rPr>
                <w:color w:val="000000"/>
                <w:sz w:val="24"/>
                <w:szCs w:val="24"/>
              </w:rPr>
              <w:t>Отображение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3</w:t>
            </w:r>
            <w:r w:rsidR="00F937D3" w:rsidRPr="00F937D3">
              <w:rPr>
                <w:color w:val="000000"/>
                <w:sz w:val="24"/>
                <w:szCs w:val="24"/>
              </w:rPr>
              <w:t>-х ярусов</w:t>
            </w:r>
          </w:p>
          <w:p w:rsidR="009F3B20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Соблюдение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ленточн</w:t>
            </w:r>
            <w:r w:rsidRPr="00F937D3">
              <w:rPr>
                <w:color w:val="000000"/>
                <w:sz w:val="24"/>
                <w:szCs w:val="24"/>
              </w:rPr>
              <w:t>ого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геометрическ</w:t>
            </w:r>
            <w:r w:rsidRPr="00F937D3">
              <w:rPr>
                <w:color w:val="000000"/>
                <w:sz w:val="24"/>
                <w:szCs w:val="24"/>
              </w:rPr>
              <w:t>ого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построени</w:t>
            </w:r>
            <w:r w:rsidRPr="00F937D3">
              <w:rPr>
                <w:color w:val="000000"/>
                <w:sz w:val="24"/>
                <w:szCs w:val="24"/>
              </w:rPr>
              <w:t>я</w:t>
            </w:r>
          </w:p>
          <w:p w:rsidR="009F3B20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Прорисовка черной краской очертания всего орнамента</w:t>
            </w:r>
          </w:p>
          <w:p w:rsidR="00F937D3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Заполнение</w:t>
            </w:r>
            <w:r w:rsidR="00F937D3" w:rsidRPr="00F937D3">
              <w:rPr>
                <w:color w:val="000000"/>
                <w:sz w:val="24"/>
                <w:szCs w:val="24"/>
              </w:rPr>
              <w:t xml:space="preserve"> солярными знаками поверхности изделия</w:t>
            </w:r>
          </w:p>
          <w:p w:rsidR="002F605A" w:rsidRPr="00F937D3" w:rsidRDefault="00F937D3" w:rsidP="00F937D3">
            <w:pPr>
              <w:mirrorIndents/>
              <w:jc w:val="both"/>
              <w:rPr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Отводка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76673">
              <w:rPr>
                <w:b/>
                <w:sz w:val="26"/>
                <w:szCs w:val="26"/>
              </w:rPr>
              <w:t>Презентация готового изделия</w:t>
            </w:r>
          </w:p>
        </w:tc>
        <w:tc>
          <w:tcPr>
            <w:tcW w:w="3149" w:type="pct"/>
            <w:shd w:val="clear" w:color="auto" w:fill="auto"/>
          </w:tcPr>
          <w:p w:rsidR="00CE70AA" w:rsidRPr="00F937D3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E8D">
              <w:rPr>
                <w:color w:val="000000"/>
                <w:sz w:val="24"/>
                <w:szCs w:val="24"/>
              </w:rPr>
              <w:t xml:space="preserve">Презентация готового </w:t>
            </w:r>
            <w:r w:rsidR="00076673">
              <w:rPr>
                <w:color w:val="000000"/>
                <w:sz w:val="24"/>
                <w:szCs w:val="24"/>
              </w:rPr>
              <w:t>изделия. Выполнить фото готовых изделий</w:t>
            </w:r>
            <w:r w:rsidRPr="00E87E8D">
              <w:rPr>
                <w:color w:val="000000"/>
                <w:sz w:val="24"/>
                <w:szCs w:val="24"/>
              </w:rPr>
      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образцу, скоп</w:t>
            </w:r>
            <w:r w:rsidR="00076673">
              <w:rPr>
                <w:color w:val="000000"/>
                <w:sz w:val="24"/>
                <w:szCs w:val="24"/>
              </w:rPr>
              <w:t>ировать в папку фотографии</w:t>
            </w:r>
            <w:r w:rsidRPr="00E87E8D">
              <w:rPr>
                <w:color w:val="000000"/>
                <w:sz w:val="24"/>
                <w:szCs w:val="24"/>
              </w:rPr>
              <w:t>, подписать по образцу.</w:t>
            </w:r>
          </w:p>
        </w:tc>
      </w:tr>
    </w:tbl>
    <w:p w:rsidR="000745FD" w:rsidRPr="00640E46" w:rsidRDefault="000745FD" w:rsidP="00F93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4625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62538" w:rsidRPr="009E52E7">
        <w:rPr>
          <w:rFonts w:ascii="Times New Roman" w:hAnsi="Times New Roman" w:cs="Times New Roman"/>
          <w:b/>
          <w:bCs/>
          <w:sz w:val="28"/>
          <w:szCs w:val="28"/>
        </w:rPr>
        <w:t>онкурсное задание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01593"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01593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</w:t>
      </w:r>
      <w:r w:rsidR="003D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работодателей региона 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специалистах.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(Приложение 3. Матрица конкурсного задания).</w:t>
      </w:r>
    </w:p>
    <w:p w:rsidR="000B55A2" w:rsidRDefault="00730AE0" w:rsidP="003D028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6" w:name="_Toc167109965"/>
      <w:bookmarkStart w:id="17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462538">
        <w:rPr>
          <w:rFonts w:ascii="Times New Roman" w:hAnsi="Times New Roman"/>
          <w:szCs w:val="28"/>
        </w:rPr>
        <w:t xml:space="preserve"> (инвариант/вариатив)</w:t>
      </w:r>
      <w:bookmarkEnd w:id="16"/>
      <w:r w:rsidR="000B55A2" w:rsidRPr="000B55A2">
        <w:rPr>
          <w:rFonts w:ascii="Times New Roman" w:hAnsi="Times New Roman"/>
          <w:szCs w:val="28"/>
        </w:rPr>
        <w:t xml:space="preserve"> </w:t>
      </w:r>
      <w:bookmarkEnd w:id="17"/>
    </w:p>
    <w:p w:rsidR="00BB5DCD" w:rsidRPr="00532655" w:rsidRDefault="00A169DC" w:rsidP="001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>Выполнение хохломской росписи на деревянном изделии</w:t>
      </w:r>
      <w:r w:rsidR="003D0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55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A169DC" w:rsidRPr="009B0B6A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B64A02" w:rsidRPr="002C16F2" w:rsidRDefault="009D385F" w:rsidP="00B6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4A02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выполнить хохломскую росписи на деревянном (токарном) изделии (коробка, размер 164х124) в технике растительно-травочного орнамента. На крышке токарного изделия выполнить </w:t>
      </w:r>
    </w:p>
    <w:p w:rsidR="009D385F" w:rsidRPr="002C16F2" w:rsidRDefault="009D385F" w:rsidP="009D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растительно-травочный орнамент с обогащением</w:t>
      </w:r>
      <w:r w:rsidR="00B64A02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(птица).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боковой поверхности растительно-травочный орнамент без обогащения. Пояски для ограничения поля росписи наводятся по задумке автора. Отводка краев изделия – необходимое условие.</w:t>
      </w:r>
    </w:p>
    <w:p w:rsidR="00B64A02" w:rsidRPr="002C16F2" w:rsidRDefault="00B64A02" w:rsidP="00B64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Последовательность: построить композицию, гармонично выстроить орнамент, выполнить необходимым цветом масляной краски наляпку всех элементов растительно-травочного хохломского орнамента, разживку и подвести ведущую линию к элементам на деревянном изделии. </w:t>
      </w:r>
    </w:p>
    <w:p w:rsidR="00A169DC" w:rsidRPr="00B64A02" w:rsidRDefault="0097064F" w:rsidP="00FB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A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69DC" w:rsidRPr="00AB71D8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росписи на токарном изделии</w:t>
      </w:r>
      <w:r w:rsidR="00A32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(матрёшка) </w:t>
      </w:r>
      <w:r w:rsidR="00AB71D8"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:rsidR="00A169DC" w:rsidRPr="00A32C2B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2C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A32C2B" w:rsidRDefault="00B62548" w:rsidP="00A1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169DC" w:rsidRPr="009B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6F55" w:rsidRPr="002C16F2" w:rsidRDefault="00F66F55" w:rsidP="002C1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 выполнить роспись матрёшки размером 190x100 мм</w:t>
      </w:r>
      <w:r w:rsidR="00D52254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городецким орнаментом. На фартуке цветочный орнамент с обогащением. 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цветочным орнаментом на фартуке и платке. Крытье сарафана и платка должн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быть выполнено цветами красок, 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гармонирующих между собой.</w:t>
      </w:r>
    </w:p>
    <w:p w:rsidR="00F66F55" w:rsidRPr="002C16F2" w:rsidRDefault="00F66F55" w:rsidP="002C1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матрёшки выполняется в соответствии с замыслом конкурсанта, соблюдая пропорциональность расположения глаз, нос</w:t>
      </w:r>
      <w:r w:rsidR="007764CE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рта и щё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чек.</w:t>
      </w:r>
    </w:p>
    <w:p w:rsidR="00AB71D8" w:rsidRPr="002C16F2" w:rsidRDefault="00AB71D8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 декорировать платок цветочным орнаментом, используя элементы основного цветочного орнамента. Дополнить роспись платка и сарафана витейкой или каемкой.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EEC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4A5EEC">
        <w:rPr>
          <w:rFonts w:ascii="Times New Roman" w:hAnsi="Times New Roman" w:cs="Times New Roman"/>
          <w:b/>
          <w:sz w:val="28"/>
          <w:szCs w:val="28"/>
        </w:rPr>
        <w:t>традиционной</w:t>
      </w:r>
      <w:r w:rsidR="002C16F2">
        <w:rPr>
          <w:rFonts w:ascii="Times New Roman" w:hAnsi="Times New Roman" w:cs="Times New Roman"/>
          <w:b/>
          <w:sz w:val="28"/>
          <w:szCs w:val="28"/>
        </w:rPr>
        <w:t xml:space="preserve"> (мезенская)</w:t>
      </w:r>
      <w:r w:rsidR="004A5EEC">
        <w:rPr>
          <w:rFonts w:ascii="Times New Roman" w:hAnsi="Times New Roman" w:cs="Times New Roman"/>
          <w:b/>
          <w:sz w:val="28"/>
          <w:szCs w:val="28"/>
        </w:rPr>
        <w:t xml:space="preserve"> росписи </w:t>
      </w:r>
      <w:r w:rsidR="00AB71D8">
        <w:rPr>
          <w:rFonts w:ascii="Times New Roman" w:hAnsi="Times New Roman" w:cs="Times New Roman"/>
          <w:b/>
          <w:sz w:val="28"/>
          <w:szCs w:val="28"/>
        </w:rPr>
        <w:t>(вариатив)</w:t>
      </w:r>
      <w:r w:rsidR="002C16F2">
        <w:rPr>
          <w:rFonts w:ascii="Times New Roman" w:hAnsi="Times New Roman" w:cs="Times New Roman"/>
          <w:b/>
          <w:sz w:val="28"/>
          <w:szCs w:val="28"/>
        </w:rPr>
        <w:t xml:space="preserve"> на столярном изделии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 часов</w:t>
      </w:r>
    </w:p>
    <w:p w:rsidR="002C16F2" w:rsidRPr="002C16F2" w:rsidRDefault="002C16F2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роспись декоративного донца прялки</w:t>
      </w:r>
      <w:r w:rsidR="00BF2F5E">
        <w:rPr>
          <w:rFonts w:ascii="Times New Roman" w:hAnsi="Times New Roman" w:cs="Times New Roman"/>
          <w:sz w:val="28"/>
          <w:szCs w:val="28"/>
        </w:rPr>
        <w:t xml:space="preserve"> (размер 300х15</w:t>
      </w:r>
      <w:r w:rsidRPr="002C16F2">
        <w:rPr>
          <w:rFonts w:ascii="Times New Roman" w:hAnsi="Times New Roman" w:cs="Times New Roman"/>
          <w:sz w:val="28"/>
          <w:szCs w:val="28"/>
        </w:rPr>
        <w:t>0 мм)</w:t>
      </w: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традиционным мезенским орнаментом, отобразив 3 яруса (мир живых, подземный и небесные миры). При необходимости сделать отводку изделия.</w:t>
      </w:r>
    </w:p>
    <w:p w:rsidR="002C16F2" w:rsidRPr="002C16F2" w:rsidRDefault="002C16F2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>Копылок (головка) расписывается в соответствии с основным орнаментом.</w:t>
      </w:r>
    </w:p>
    <w:p w:rsidR="00A169DC" w:rsidRPr="009B0B6A" w:rsidRDefault="00A169DC" w:rsidP="000F7367">
      <w:pPr>
        <w:pStyle w:val="aff1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69DC" w:rsidRPr="009B0B6A" w:rsidRDefault="002C16F2" w:rsidP="00A16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Г: Презентация готовых изделий</w:t>
      </w:r>
      <w:r w:rsidR="00A169DC" w:rsidRPr="009B0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69DC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:rsidR="001145F2" w:rsidRDefault="00B62548" w:rsidP="00A169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B5DCD" w:rsidRDefault="00C65B7F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готовых изделий. Выполнить фото готовых изделий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скопировать в папку фотографии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подписать по образцу.</w:t>
      </w:r>
      <w:bookmarkStart w:id="18" w:name="_Toc78885643"/>
      <w:bookmarkStart w:id="19" w:name="_Toc124422971"/>
    </w:p>
    <w:p w:rsidR="00F9602B" w:rsidRDefault="00F9602B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AA" w:rsidRPr="00DB5CD8" w:rsidRDefault="00CE70AA" w:rsidP="00CE7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50"/>
        <w:gridCol w:w="3345"/>
      </w:tblGrid>
      <w:tr w:rsidR="00F9602B" w:rsidRPr="00F9602B" w:rsidTr="00F9602B"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Коробка,</w:t>
            </w:r>
          </w:p>
          <w:p w:rsidR="00F9602B" w:rsidRPr="00F9602B" w:rsidRDefault="00F9602B" w:rsidP="00F9602B">
            <w:pPr>
              <w:rPr>
                <w:rFonts w:ascii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размер 164х124</w:t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Матрёшка,</w:t>
            </w:r>
          </w:p>
          <w:p w:rsidR="00F9602B" w:rsidRPr="00F9602B" w:rsidRDefault="00F9602B" w:rsidP="00F9602B">
            <w:pPr>
              <w:rPr>
                <w:rFonts w:ascii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размер 190х115 мм.</w:t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 xml:space="preserve">Декоративное </w:t>
            </w:r>
            <w:r w:rsidR="00BF2F5E">
              <w:rPr>
                <w:rFonts w:ascii="Calibri" w:eastAsia="Calibri" w:hAnsi="Calibri"/>
                <w:sz w:val="28"/>
                <w:szCs w:val="28"/>
              </w:rPr>
              <w:t>донце прялки, размер 300х15</w:t>
            </w:r>
            <w:r w:rsidRPr="00F9602B">
              <w:rPr>
                <w:rFonts w:ascii="Calibri" w:eastAsia="Calibri" w:hAnsi="Calibri"/>
                <w:sz w:val="28"/>
                <w:szCs w:val="28"/>
              </w:rPr>
              <w:t>0мм.</w:t>
            </w:r>
          </w:p>
        </w:tc>
      </w:tr>
      <w:tr w:rsidR="00F9602B" w:rsidRPr="00F9602B" w:rsidTr="00F9602B"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1F7CC2B1" wp14:editId="322413BD">
                  <wp:extent cx="1850390" cy="2470785"/>
                  <wp:effectExtent l="0" t="0" r="0" b="5715"/>
                  <wp:docPr id="4" name="Рисунок 4" descr="Короб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об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1045C0E4" wp14:editId="71E403B5">
                  <wp:extent cx="1807210" cy="2514600"/>
                  <wp:effectExtent l="0" t="0" r="2540" b="0"/>
                  <wp:docPr id="2" name="Рисунок 3" descr="матрёш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трёш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5F05B455" wp14:editId="04D0EF9B">
                  <wp:extent cx="1986915" cy="2531110"/>
                  <wp:effectExtent l="0" t="0" r="0" b="2540"/>
                  <wp:docPr id="3" name="Рисунок 6" descr="Донце прял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Донце прял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253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0AA" w:rsidRPr="00C65B7F" w:rsidRDefault="00CE70AA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0" w:name="_Toc16710996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8"/>
      <w:bookmarkEnd w:id="19"/>
      <w:bookmarkEnd w:id="20"/>
    </w:p>
    <w:p w:rsidR="00101593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_Toc78885659"/>
      <w:bookmarkStart w:id="22" w:name="_Toc124422972"/>
      <w:r w:rsidRPr="00DB5CD8">
        <w:rPr>
          <w:rFonts w:ascii="Times New Roman" w:eastAsia="Times New Roman" w:hAnsi="Times New Roman" w:cs="Times New Roman"/>
          <w:sz w:val="26"/>
          <w:szCs w:val="26"/>
        </w:rPr>
        <w:t>Специальные правила компетенции отсутствуют.</w:t>
      </w:r>
    </w:p>
    <w:p w:rsidR="00101593" w:rsidRPr="00DB5CD8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F2A" w:rsidRPr="00CE25A4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3" w:name="_Toc167109967"/>
      <w:r w:rsidRPr="00CE25A4">
        <w:rPr>
          <w:rFonts w:ascii="Times New Roman" w:hAnsi="Times New Roman"/>
          <w:color w:val="000000"/>
          <w:szCs w:val="28"/>
        </w:rPr>
        <w:t>2</w:t>
      </w:r>
      <w:r w:rsidR="00FB022D" w:rsidRPr="00CE25A4">
        <w:rPr>
          <w:rFonts w:ascii="Times New Roman" w:hAnsi="Times New Roman"/>
          <w:color w:val="000000"/>
          <w:szCs w:val="28"/>
        </w:rPr>
        <w:t>.</w:t>
      </w:r>
      <w:r w:rsidRPr="00CE25A4">
        <w:rPr>
          <w:rFonts w:ascii="Times New Roman" w:hAnsi="Times New Roman"/>
          <w:color w:val="000000"/>
          <w:szCs w:val="28"/>
        </w:rPr>
        <w:t>1</w:t>
      </w:r>
      <w:r w:rsidR="00FB022D" w:rsidRPr="00CE25A4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CE25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:rsidR="00101593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CE25A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1593" w:rsidRPr="00CE25A4" w:rsidRDefault="00101593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593" w:rsidRPr="00CE25A4" w:rsidRDefault="00101593" w:rsidP="0010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инструментов – неопределенный (можно привезти по списку, кроме запрещённого: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Краски на водной основе: гуашь и (или) темпера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Кисти художественные (белка, колонок)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lastRenderedPageBreak/>
        <w:t>Карандаш для разметки орнамента на дереве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Мастихин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Палитра для смешивания красок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Точилка для карандаша</w:t>
      </w:r>
    </w:p>
    <w:p w:rsidR="00E15F2A" w:rsidRPr="00D70959" w:rsidRDefault="00A11569" w:rsidP="00D70959">
      <w:pPr>
        <w:pStyle w:val="-2"/>
        <w:spacing w:before="0" w:after="0"/>
        <w:jc w:val="both"/>
        <w:rPr>
          <w:rFonts w:ascii="Times New Roman" w:hAnsi="Times New Roman"/>
          <w:color w:val="000000"/>
          <w:szCs w:val="28"/>
        </w:rPr>
      </w:pPr>
      <w:bookmarkStart w:id="24" w:name="_Toc78885660"/>
      <w:bookmarkStart w:id="25" w:name="_Toc167109968"/>
      <w:r w:rsidRPr="00D70959">
        <w:rPr>
          <w:rFonts w:ascii="Times New Roman" w:hAnsi="Times New Roman"/>
          <w:color w:val="000000"/>
          <w:szCs w:val="28"/>
        </w:rPr>
        <w:t>2</w:t>
      </w:r>
      <w:r w:rsidR="00FB022D" w:rsidRPr="00D70959">
        <w:rPr>
          <w:rFonts w:ascii="Times New Roman" w:hAnsi="Times New Roman"/>
          <w:color w:val="000000"/>
          <w:szCs w:val="28"/>
        </w:rPr>
        <w:t xml:space="preserve">.2. </w:t>
      </w:r>
      <w:r w:rsidR="00E15F2A" w:rsidRPr="00D70959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24"/>
      <w:bookmarkEnd w:id="25"/>
    </w:p>
    <w:p w:rsidR="00E15F2A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Эскизы росписи или кальки с эскизом росписи;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Образцы изделий с росписью;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Ножи, ножницы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Акварельные, акриловые краски;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Лаки, сиккативы, растворители (</w:t>
      </w:r>
      <w:r w:rsidR="00E672CB">
        <w:rPr>
          <w:rFonts w:ascii="Times New Roman" w:eastAsia="Calibri" w:hAnsi="Times New Roman" w:cs="Times New Roman"/>
          <w:sz w:val="28"/>
          <w:szCs w:val="28"/>
        </w:rPr>
        <w:t>уайт-</w:t>
      </w:r>
      <w:r w:rsidRPr="00CE25A4">
        <w:rPr>
          <w:rFonts w:ascii="Times New Roman" w:eastAsia="Calibri" w:hAnsi="Times New Roman" w:cs="Times New Roman"/>
          <w:sz w:val="28"/>
          <w:szCs w:val="28"/>
        </w:rPr>
        <w:t>спирит, растворитель 646)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Телефон, планшет, плеер и т.п.</w:t>
      </w:r>
    </w:p>
    <w:p w:rsidR="00E15F2A" w:rsidRPr="00CE25A4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CE25A4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24422973"/>
      <w:bookmarkStart w:id="27" w:name="_Toc167109969"/>
      <w:r w:rsidRPr="00CE25A4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CE25A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CE25A4">
        <w:rPr>
          <w:rFonts w:ascii="Times New Roman" w:hAnsi="Times New Roman"/>
          <w:caps w:val="0"/>
          <w:color w:val="auto"/>
          <w:sz w:val="28"/>
          <w:szCs w:val="28"/>
        </w:rPr>
        <w:t>П</w:t>
      </w:r>
      <w:bookmarkEnd w:id="26"/>
      <w:r w:rsidR="001E6F74"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  <w:bookmarkEnd w:id="27"/>
    </w:p>
    <w:p w:rsidR="009B0B6A" w:rsidRPr="00025EF0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B0B6A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B0B6A" w:rsidRPr="00025EF0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№3</w:t>
      </w:r>
      <w:r w:rsidRPr="00025EF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«Художественная роспись по дереву»</w:t>
      </w:r>
    </w:p>
    <w:p w:rsidR="009B0B6A" w:rsidRPr="00CE25A4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</w:t>
      </w:r>
      <w:r w:rsidR="00E672CB" w:rsidRPr="00025EF0">
        <w:rPr>
          <w:rFonts w:ascii="Times New Roman" w:hAnsi="Times New Roman" w:cs="Times New Roman"/>
          <w:sz w:val="28"/>
          <w:szCs w:val="28"/>
        </w:rPr>
        <w:t>Чертежи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изделий к конкурсным заданиям</w:t>
      </w:r>
      <w:r w:rsidR="009B0B6A" w:rsidRPr="00CE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36" w:rsidRDefault="00491C36" w:rsidP="00970F49">
      <w:pPr>
        <w:spacing w:after="0" w:line="240" w:lineRule="auto"/>
      </w:pPr>
      <w:r>
        <w:separator/>
      </w:r>
    </w:p>
  </w:endnote>
  <w:endnote w:type="continuationSeparator" w:id="0">
    <w:p w:rsidR="00491C36" w:rsidRDefault="00491C3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36" w:rsidRDefault="00491C36" w:rsidP="00970F49">
      <w:pPr>
        <w:spacing w:after="0" w:line="240" w:lineRule="auto"/>
      </w:pPr>
      <w:r>
        <w:separator/>
      </w:r>
    </w:p>
  </w:footnote>
  <w:footnote w:type="continuationSeparator" w:id="0">
    <w:p w:rsidR="00491C36" w:rsidRDefault="00491C3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0"/>
  </w:num>
  <w:num w:numId="24">
    <w:abstractNumId w:val="15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25EF0"/>
    <w:rsid w:val="00034739"/>
    <w:rsid w:val="00041A78"/>
    <w:rsid w:val="00054C98"/>
    <w:rsid w:val="00054DAF"/>
    <w:rsid w:val="00056AD6"/>
    <w:rsid w:val="00056CDE"/>
    <w:rsid w:val="00067386"/>
    <w:rsid w:val="000745FD"/>
    <w:rsid w:val="00076673"/>
    <w:rsid w:val="00081D65"/>
    <w:rsid w:val="000822ED"/>
    <w:rsid w:val="0009207F"/>
    <w:rsid w:val="000A1F96"/>
    <w:rsid w:val="000B3397"/>
    <w:rsid w:val="000B55A2"/>
    <w:rsid w:val="000D2265"/>
    <w:rsid w:val="000D258B"/>
    <w:rsid w:val="000D43CC"/>
    <w:rsid w:val="000D4C46"/>
    <w:rsid w:val="000D74AA"/>
    <w:rsid w:val="000E3A44"/>
    <w:rsid w:val="000F0FC3"/>
    <w:rsid w:val="000F7367"/>
    <w:rsid w:val="00101593"/>
    <w:rsid w:val="001024BE"/>
    <w:rsid w:val="00106738"/>
    <w:rsid w:val="001145F2"/>
    <w:rsid w:val="00114D79"/>
    <w:rsid w:val="00127743"/>
    <w:rsid w:val="00136E2A"/>
    <w:rsid w:val="00136EB4"/>
    <w:rsid w:val="00137545"/>
    <w:rsid w:val="0015042D"/>
    <w:rsid w:val="0015561E"/>
    <w:rsid w:val="00162165"/>
    <w:rsid w:val="001627D5"/>
    <w:rsid w:val="00170204"/>
    <w:rsid w:val="0017612A"/>
    <w:rsid w:val="001B4B65"/>
    <w:rsid w:val="001C5427"/>
    <w:rsid w:val="001C63E7"/>
    <w:rsid w:val="001D2A3F"/>
    <w:rsid w:val="001E1DF9"/>
    <w:rsid w:val="001E6F74"/>
    <w:rsid w:val="001F5B64"/>
    <w:rsid w:val="00205830"/>
    <w:rsid w:val="00220E70"/>
    <w:rsid w:val="00232414"/>
    <w:rsid w:val="00232BFB"/>
    <w:rsid w:val="00237603"/>
    <w:rsid w:val="00247E8C"/>
    <w:rsid w:val="002525EE"/>
    <w:rsid w:val="00270E01"/>
    <w:rsid w:val="002776A1"/>
    <w:rsid w:val="00291198"/>
    <w:rsid w:val="0029547E"/>
    <w:rsid w:val="002A1976"/>
    <w:rsid w:val="002A3326"/>
    <w:rsid w:val="002B1426"/>
    <w:rsid w:val="002B3DBB"/>
    <w:rsid w:val="002C16F2"/>
    <w:rsid w:val="002F2906"/>
    <w:rsid w:val="002F605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028B"/>
    <w:rsid w:val="003D1E51"/>
    <w:rsid w:val="003D3947"/>
    <w:rsid w:val="003D5CA6"/>
    <w:rsid w:val="003D7107"/>
    <w:rsid w:val="003E28F8"/>
    <w:rsid w:val="003F0CC7"/>
    <w:rsid w:val="004254FE"/>
    <w:rsid w:val="00436FFC"/>
    <w:rsid w:val="00437D28"/>
    <w:rsid w:val="0044354A"/>
    <w:rsid w:val="00454353"/>
    <w:rsid w:val="00460907"/>
    <w:rsid w:val="00461AC6"/>
    <w:rsid w:val="00462538"/>
    <w:rsid w:val="00466DB1"/>
    <w:rsid w:val="0047429B"/>
    <w:rsid w:val="004757A5"/>
    <w:rsid w:val="00486E5E"/>
    <w:rsid w:val="004904C5"/>
    <w:rsid w:val="004917C4"/>
    <w:rsid w:val="00491C36"/>
    <w:rsid w:val="004A07A5"/>
    <w:rsid w:val="004A5EEC"/>
    <w:rsid w:val="004B17A4"/>
    <w:rsid w:val="004B692B"/>
    <w:rsid w:val="004C3CAF"/>
    <w:rsid w:val="004C703E"/>
    <w:rsid w:val="004D096E"/>
    <w:rsid w:val="004E785E"/>
    <w:rsid w:val="004E7905"/>
    <w:rsid w:val="005055FF"/>
    <w:rsid w:val="00510059"/>
    <w:rsid w:val="0052673B"/>
    <w:rsid w:val="00532655"/>
    <w:rsid w:val="00554CBB"/>
    <w:rsid w:val="005560AC"/>
    <w:rsid w:val="00557CC0"/>
    <w:rsid w:val="0056194A"/>
    <w:rsid w:val="00565B7C"/>
    <w:rsid w:val="00567805"/>
    <w:rsid w:val="005A1625"/>
    <w:rsid w:val="005A203B"/>
    <w:rsid w:val="005A2764"/>
    <w:rsid w:val="005B05D5"/>
    <w:rsid w:val="005B0DEC"/>
    <w:rsid w:val="005B66FC"/>
    <w:rsid w:val="005C6A23"/>
    <w:rsid w:val="005E30DC"/>
    <w:rsid w:val="005E534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960"/>
    <w:rsid w:val="00653B50"/>
    <w:rsid w:val="00666BDD"/>
    <w:rsid w:val="006776B4"/>
    <w:rsid w:val="006873B8"/>
    <w:rsid w:val="006B0FEA"/>
    <w:rsid w:val="006C6D6D"/>
    <w:rsid w:val="006C7A3B"/>
    <w:rsid w:val="006C7CE4"/>
    <w:rsid w:val="006D561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4CE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0E9"/>
    <w:rsid w:val="00811C3A"/>
    <w:rsid w:val="00812320"/>
    <w:rsid w:val="00812516"/>
    <w:rsid w:val="00832EBB"/>
    <w:rsid w:val="00834734"/>
    <w:rsid w:val="00835BF6"/>
    <w:rsid w:val="00850301"/>
    <w:rsid w:val="008761F3"/>
    <w:rsid w:val="00881DD2"/>
    <w:rsid w:val="00882B54"/>
    <w:rsid w:val="008912AE"/>
    <w:rsid w:val="008959F9"/>
    <w:rsid w:val="008B0F23"/>
    <w:rsid w:val="008B560B"/>
    <w:rsid w:val="008C41F7"/>
    <w:rsid w:val="008D4E1B"/>
    <w:rsid w:val="008D6DCF"/>
    <w:rsid w:val="008E5424"/>
    <w:rsid w:val="008F7260"/>
    <w:rsid w:val="00900604"/>
    <w:rsid w:val="00901689"/>
    <w:rsid w:val="009018F0"/>
    <w:rsid w:val="00906E82"/>
    <w:rsid w:val="00910F24"/>
    <w:rsid w:val="009203A8"/>
    <w:rsid w:val="00945E13"/>
    <w:rsid w:val="00953113"/>
    <w:rsid w:val="00954B97"/>
    <w:rsid w:val="00955127"/>
    <w:rsid w:val="00956BC9"/>
    <w:rsid w:val="00961DA0"/>
    <w:rsid w:val="0097064F"/>
    <w:rsid w:val="00970F49"/>
    <w:rsid w:val="009715DA"/>
    <w:rsid w:val="00976338"/>
    <w:rsid w:val="009931F0"/>
    <w:rsid w:val="009955F8"/>
    <w:rsid w:val="009A1CBC"/>
    <w:rsid w:val="009A36AD"/>
    <w:rsid w:val="009B0B6A"/>
    <w:rsid w:val="009B18A2"/>
    <w:rsid w:val="009D04EE"/>
    <w:rsid w:val="009D385F"/>
    <w:rsid w:val="009E13CF"/>
    <w:rsid w:val="009E37D3"/>
    <w:rsid w:val="009E52E7"/>
    <w:rsid w:val="009E5A80"/>
    <w:rsid w:val="009F3B20"/>
    <w:rsid w:val="009F57C0"/>
    <w:rsid w:val="00A00DCA"/>
    <w:rsid w:val="00A0510D"/>
    <w:rsid w:val="00A06F97"/>
    <w:rsid w:val="00A11569"/>
    <w:rsid w:val="00A14CFD"/>
    <w:rsid w:val="00A169DC"/>
    <w:rsid w:val="00A204BB"/>
    <w:rsid w:val="00A20A67"/>
    <w:rsid w:val="00A258A2"/>
    <w:rsid w:val="00A27EE4"/>
    <w:rsid w:val="00A31BE5"/>
    <w:rsid w:val="00A32C2B"/>
    <w:rsid w:val="00A368D9"/>
    <w:rsid w:val="00A36EE2"/>
    <w:rsid w:val="00A57976"/>
    <w:rsid w:val="00A636B8"/>
    <w:rsid w:val="00A72CE1"/>
    <w:rsid w:val="00A8033F"/>
    <w:rsid w:val="00A8496D"/>
    <w:rsid w:val="00A85D42"/>
    <w:rsid w:val="00A87202"/>
    <w:rsid w:val="00A87627"/>
    <w:rsid w:val="00A91D4B"/>
    <w:rsid w:val="00A962D4"/>
    <w:rsid w:val="00A9790B"/>
    <w:rsid w:val="00AA2B8A"/>
    <w:rsid w:val="00AB71D8"/>
    <w:rsid w:val="00AD2200"/>
    <w:rsid w:val="00AE6AB7"/>
    <w:rsid w:val="00AE7A32"/>
    <w:rsid w:val="00B162B5"/>
    <w:rsid w:val="00B236AD"/>
    <w:rsid w:val="00B30A26"/>
    <w:rsid w:val="00B3384D"/>
    <w:rsid w:val="00B339CE"/>
    <w:rsid w:val="00B37579"/>
    <w:rsid w:val="00B40FFB"/>
    <w:rsid w:val="00B4196F"/>
    <w:rsid w:val="00B45392"/>
    <w:rsid w:val="00B45AA4"/>
    <w:rsid w:val="00B529FD"/>
    <w:rsid w:val="00B610A2"/>
    <w:rsid w:val="00B62548"/>
    <w:rsid w:val="00B64A02"/>
    <w:rsid w:val="00BA2CF0"/>
    <w:rsid w:val="00BB5DCD"/>
    <w:rsid w:val="00BC3813"/>
    <w:rsid w:val="00BC7808"/>
    <w:rsid w:val="00BD75DA"/>
    <w:rsid w:val="00BE099A"/>
    <w:rsid w:val="00BF2F5E"/>
    <w:rsid w:val="00C06EBC"/>
    <w:rsid w:val="00C0723F"/>
    <w:rsid w:val="00C17B01"/>
    <w:rsid w:val="00C21E3A"/>
    <w:rsid w:val="00C26C83"/>
    <w:rsid w:val="00C31CA1"/>
    <w:rsid w:val="00C44D89"/>
    <w:rsid w:val="00C52383"/>
    <w:rsid w:val="00C56A9B"/>
    <w:rsid w:val="00C65B7F"/>
    <w:rsid w:val="00C740CF"/>
    <w:rsid w:val="00C8277D"/>
    <w:rsid w:val="00C95538"/>
    <w:rsid w:val="00C957B3"/>
    <w:rsid w:val="00C96567"/>
    <w:rsid w:val="00C97E44"/>
    <w:rsid w:val="00CA6CCD"/>
    <w:rsid w:val="00CC3E52"/>
    <w:rsid w:val="00CC50B7"/>
    <w:rsid w:val="00CD66EF"/>
    <w:rsid w:val="00CE2498"/>
    <w:rsid w:val="00CE25A4"/>
    <w:rsid w:val="00CE36B8"/>
    <w:rsid w:val="00CE70AA"/>
    <w:rsid w:val="00CF0DA9"/>
    <w:rsid w:val="00D02C00"/>
    <w:rsid w:val="00D12ABD"/>
    <w:rsid w:val="00D16F4B"/>
    <w:rsid w:val="00D17132"/>
    <w:rsid w:val="00D2075B"/>
    <w:rsid w:val="00D229F1"/>
    <w:rsid w:val="00D25D0B"/>
    <w:rsid w:val="00D37CEC"/>
    <w:rsid w:val="00D37DEA"/>
    <w:rsid w:val="00D405D4"/>
    <w:rsid w:val="00D41269"/>
    <w:rsid w:val="00D45007"/>
    <w:rsid w:val="00D46229"/>
    <w:rsid w:val="00D52254"/>
    <w:rsid w:val="00D617CC"/>
    <w:rsid w:val="00D70959"/>
    <w:rsid w:val="00D82186"/>
    <w:rsid w:val="00D87A1E"/>
    <w:rsid w:val="00DE326C"/>
    <w:rsid w:val="00DE39D8"/>
    <w:rsid w:val="00DE5614"/>
    <w:rsid w:val="00DF112E"/>
    <w:rsid w:val="00E0407E"/>
    <w:rsid w:val="00E04FDF"/>
    <w:rsid w:val="00E1462E"/>
    <w:rsid w:val="00E15F2A"/>
    <w:rsid w:val="00E22D69"/>
    <w:rsid w:val="00E279E8"/>
    <w:rsid w:val="00E558DA"/>
    <w:rsid w:val="00E566B6"/>
    <w:rsid w:val="00E579D6"/>
    <w:rsid w:val="00E619B3"/>
    <w:rsid w:val="00E63F0A"/>
    <w:rsid w:val="00E672CB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6F55"/>
    <w:rsid w:val="00F672B2"/>
    <w:rsid w:val="00F8340A"/>
    <w:rsid w:val="00F83D10"/>
    <w:rsid w:val="00F937D3"/>
    <w:rsid w:val="00F9602B"/>
    <w:rsid w:val="00F96457"/>
    <w:rsid w:val="00FB022D"/>
    <w:rsid w:val="00FB1F17"/>
    <w:rsid w:val="00FB3492"/>
    <w:rsid w:val="00FB4A99"/>
    <w:rsid w:val="00FB7CB6"/>
    <w:rsid w:val="00FC415A"/>
    <w:rsid w:val="00FD20DE"/>
    <w:rsid w:val="00FD452F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FC757-9314-45BC-82E7-5445713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1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23AE-0ECB-421C-98AB-AC08E49C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42</cp:revision>
  <cp:lastPrinted>2023-07-04T09:55:00Z</cp:lastPrinted>
  <dcterms:created xsi:type="dcterms:W3CDTF">2023-05-17T14:06:00Z</dcterms:created>
  <dcterms:modified xsi:type="dcterms:W3CDTF">2024-10-20T16:38:00Z</dcterms:modified>
</cp:coreProperties>
</file>