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ПРОГРАММА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cs="Times New Roman" w:ascii="Times New Roman" w:hAnsi="Times New Roman"/>
          <w:b/>
          <w:color w:val="FF0000"/>
          <w:sz w:val="24"/>
          <w:szCs w:val="28"/>
        </w:rPr>
        <w:t xml:space="preserve">(Наименование этапа) </w:t>
      </w:r>
      <w:r>
        <w:rPr>
          <w:rFonts w:cs="Times New Roman" w:ascii="Times New Roman" w:hAnsi="Times New Roman"/>
          <w:b/>
          <w:sz w:val="24"/>
          <w:szCs w:val="28"/>
        </w:rPr>
        <w:t xml:space="preserve">этапа чемпионата </w:t>
      </w:r>
      <w:r>
        <w:rPr>
          <w:rFonts w:cs="Times New Roman" w:ascii="Times New Roman" w:hAnsi="Times New Roman"/>
          <w:b/>
          <w:color w:val="FF0000"/>
          <w:sz w:val="24"/>
          <w:szCs w:val="28"/>
        </w:rPr>
        <w:t>(наименование региона)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по компетенции </w:t>
      </w:r>
      <w:r>
        <w:rPr>
          <w:rFonts w:cs="Times New Roman" w:ascii="Times New Roman" w:hAnsi="Times New Roman"/>
          <w:b/>
          <w:sz w:val="24"/>
          <w:szCs w:val="28"/>
        </w:rPr>
        <w:t>Фотография</w:t>
      </w:r>
      <w:r>
        <w:rPr>
          <w:rFonts w:cs="Times New Roman" w:ascii="Times New Roman" w:hAnsi="Times New Roman"/>
          <w:sz w:val="24"/>
          <w:szCs w:val="28"/>
        </w:rPr>
        <w:br/>
      </w:r>
    </w:p>
    <w:tbl>
      <w:tblPr>
        <w:tblStyle w:val="af"/>
        <w:tblW w:w="75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5"/>
        <w:gridCol w:w="4409"/>
      </w:tblGrid>
      <w:tr>
        <w:trPr>
          <w:trHeight w:val="555" w:hRule="atLeast"/>
        </w:trPr>
        <w:tc>
          <w:tcPr>
            <w:tcW w:w="7554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tbl>
      <w:tblPr>
        <w:tblStyle w:val="af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8617"/>
      </w:tblGrid>
      <w:tr>
        <w:trPr>
          <w:trHeight w:val="515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Д-2  / «___» ___________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г.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13.00 - 13.15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Регистрация экспертов и конкурсантов на площадке. Подписание протоколов регистрации экспертов и конкурсантов.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13.15 - 13.30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Распределение главным экспертом ролей экспертов на чемпионате: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 и др. Подписание протокола распределения ролей.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13.30 - 13.50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Инструктаж по охране труда среди экспертов. Подписание протокола ознакомления с правилами охраны труда.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13.50 – 15.00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Внесение 30% изменений в конкурсное задание. Обсуждение критериев оценки. Подписание протоколов: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о принятии и ознакомлении с 30% изменениями КЗ и критериями оценки.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в цифровой системе оценивания (ЦСО):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Подтверждения запуска чемпионата;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Подтверждения участников чемпионата;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Внесение Схемы оценки;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Распределение ролей экспертов на чемпионате;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Блокировка схемы оценки.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Подписание экспертами протокола блокировки схемы, с указанием ШТАМПА времени.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15.00 - 16.00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Проведение специальной подготовки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 обеспечения высокого качества, профессионализма и соответствия процесса оценки правилам и процедурам. Подписание о проведении подготовки протокола экспертами.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16.00 – 16.30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13.00 - 13.15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Регистрация экспертов и конкурсантов на площадке. Подписание протоколов регистрации экспертов и конкурсантов.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13.15 - 13.30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Распределение главным экспертом ролей экспертов на чемпионате: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 и др. Подписание протокола распределения ролей.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13.30 - 13.50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Инструктаж по охране труда среди экспертов. Подписание протокола ознакомления с правилами охраны труда.</w:t>
            </w:r>
          </w:p>
        </w:tc>
      </w:tr>
      <w:tr>
        <w:trPr/>
        <w:tc>
          <w:tcPr>
            <w:tcW w:w="1838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13.50 – 15.00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Внесение 30% изменений в конкурсное задание. Обсуждение критериев оценки. Подписание протоколов: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о принятии и ознакомлении с 30% изменениями КЗ и критериями оценки.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в цифровой системе оценивания (ЦСО):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Подтверждения запуска чемпионата;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Подтверждения участников чемпионата;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Внесение Схемы оценки;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Распределение ролей экспертов на чемпионате;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Блокировка схемы оценки.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Подписание экспертами протокола блокировки схемы, с указанием ШТАМПА времени.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Д-1  / «___» ___________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г.</w:t>
            </w:r>
          </w:p>
        </w:tc>
      </w:tr>
      <w:tr>
        <w:trPr>
          <w:trHeight w:val="278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09"/>
                <w:tab w:val="center" w:pos="1009" w:leader="none"/>
                <w:tab w:val="right" w:pos="201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ab/>
              <w:t>10.00 – 11.00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Регистрация конкурсантов: сверка паспортов, проверка наличия полиса ОМС. Подписание протокола регистрации конкурсантов.</w:t>
            </w:r>
          </w:p>
        </w:tc>
      </w:tr>
      <w:tr>
        <w:trPr>
          <w:trHeight w:val="152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 – 12.00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инструктажа по охране труда среди конкурсантов. Ознакомление конкурсантов с измененным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 с конкурсной и нормативной документацией.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12.30 - 13.00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Перерыв на обед конкурсантов и экспертов.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13.00 - 13.15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Регистрация экспертов. Подписание протокола регистрации экспертов.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13.30 - 16.30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Проверка экспертами личного инструмента конкурсантов. Подготовка конкурсантами рабочих мест, проверка и подготовка инструментов и материалов, ознакомление с оборудованием и его тестирование. Подписание протоколов: проверки личных инструментов экспертами, ознакомления конкурсантов с рабочими местами и оборудованием.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главным экспертом в системе ЦСО: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Формирование протоколов;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Распределение интервалов внесения оценки по дням;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Формирование оценочных ведомостей.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16.30 - 17.00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Ужин конкурсантов и экспертов.</w:t>
            </w:r>
          </w:p>
        </w:tc>
      </w:tr>
      <w:tr>
        <w:trPr>
          <w:trHeight w:val="8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tabs>
                <w:tab w:val="clear" w:pos="709"/>
                <w:tab w:val="center" w:pos="1009" w:leader="none"/>
                <w:tab w:val="right" w:pos="201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Д1  / «___» ___________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9.00 – 9.30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10.00 - 14.00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А.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14.00 - 14.30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Перерыв на обед конкурсантов и экспертов.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14.30 - 16.30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А.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16.30 -18.30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18.30 - 19.00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Ужин конкурсантов и экспертов.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19.00 - 21.00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Д2  / «___» ___________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г.</w:t>
            </w:r>
          </w:p>
        </w:tc>
      </w:tr>
      <w:tr>
        <w:trPr>
          <w:trHeight w:val="1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08.30 - 09.00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 конкурсантов и экспертов.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9.00 – 10.00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10.00 - 13.00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Б.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13.00 - 14.00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Г.</w:t>
            </w:r>
          </w:p>
        </w:tc>
      </w:tr>
      <w:tr>
        <w:trPr>
          <w:trHeight w:val="143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14.00 - 14.30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Перерыв на обед конкурсантов и экспертов.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14.30 – 16.30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16.30 - 18.30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И.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18.30 -19.00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Ужин конкурсантов и экспертов.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Д3  / «___» ___________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08.30- 9.00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Завтрак конкурсантов и экспертов.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09.00- 10.00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10..00 - 12.00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Ж.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12.00 – 12.30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Перерыв на обед конкурсантов и экспертов.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12.30 – 13.00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Ж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13.00– 14.30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Л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14.30 – 15.30</w:t>
            </w:r>
          </w:p>
        </w:tc>
        <w:tc>
          <w:tcPr>
            <w:tcW w:w="86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 модуля  Д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720" w:right="720" w:gutter="0" w:header="624" w:top="720" w:footer="170" w:bottom="720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firstRow="1" w:noVBand="1" w:lastRow="0" w:firstColumn="1" w:lastColumn="0" w:noHBand="0" w:val="04a0"/>
    </w:tblPr>
    <w:tblGrid>
      <w:gridCol w:w="6464"/>
      <w:gridCol w:w="4001"/>
    </w:tblGrid>
    <w:tr>
      <w:trPr/>
      <w:tc>
        <w:tcPr>
          <w:tcW w:w="6464" w:type="dxa"/>
          <w:tcBorders/>
          <w:shd w:color="auto" w:fill="auto" w:val="clear"/>
          <w:vAlign w:val="center"/>
        </w:tcPr>
        <w:p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 w:ascii="Times New Roman" w:hAnsi="Times New Roman"/>
              <w:caps/>
              <w:sz w:val="18"/>
              <w:szCs w:val="18"/>
            </w:rPr>
          </w:r>
        </w:p>
      </w:tc>
      <w:tc>
        <w:tcPr>
          <w:tcW w:w="4001" w:type="dxa"/>
          <w:tcBorders/>
          <w:shd w:color="auto" w:fill="auto" w:val="clear"/>
          <w:vAlign w:val="center"/>
        </w:tcPr>
        <w:p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 w:ascii="Times New Roman" w:hAnsi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 w:ascii="Times New Roman" w:hAnsi="Times New Roman"/>
            </w:rPr>
            <w:instrText xml:space="preserve"> PAGE </w:instrText>
          </w:r>
          <w:r>
            <w:rPr>
              <w:caps/>
              <w:sz w:val="18"/>
              <w:szCs w:val="18"/>
              <w:rFonts w:cs="Times New Roman" w:ascii="Times New Roman" w:hAnsi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 w:ascii="Times New Roman" w:hAnsi="Times New Roman"/>
            </w:rPr>
            <w:t>2</w:t>
          </w:r>
          <w:r>
            <w:rPr>
              <w:caps/>
              <w:sz w:val="18"/>
              <w:szCs w:val="18"/>
              <w:rFonts w:cs="Times New Roman" w:ascii="Times New Roman" w:hAnsi="Times New Roman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1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5f2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2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3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4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5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6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7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8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9"/>
    <w:qFormat/>
    <w:rsid w:val="00de39d8"/>
    <w:pPr>
      <w:keepNext w:val="true"/>
      <w:widowControl w:val="false"/>
      <w:spacing w:lineRule="auto" w:line="360" w:before="0" w:after="0"/>
      <w:ind w:firstLine="360" w:left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Header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link w:val="Footer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link w:val="Heading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" w:customStyle="1">
    <w:name w:val="Заголовок 2 Знак"/>
    <w:basedOn w:val="DefaultParagraphFont"/>
    <w:link w:val="Heading2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" w:customStyle="1">
    <w:name w:val="Заголовок 3 Знак"/>
    <w:basedOn w:val="DefaultParagraphFont"/>
    <w:link w:val="Heading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" w:customStyle="1">
    <w:name w:val="Заголовок 4 Знак"/>
    <w:basedOn w:val="DefaultParagraphFont"/>
    <w:link w:val="Heading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" w:customStyle="1">
    <w:name w:val="Заголовок 5 Знак"/>
    <w:basedOn w:val="DefaultParagraphFont"/>
    <w:link w:val="Heading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" w:customStyle="1">
    <w:name w:val="Заголовок 6 Знак"/>
    <w:basedOn w:val="DefaultParagraphFont"/>
    <w:link w:val="Heading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" w:customStyle="1">
    <w:name w:val="Заголовок 7 Знак"/>
    <w:basedOn w:val="DefaultParagraphFont"/>
    <w:link w:val="Heading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" w:customStyle="1">
    <w:name w:val="Заголовок 8 Знак"/>
    <w:basedOn w:val="DefaultParagraphFont"/>
    <w:link w:val="Heading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" w:customStyle="1">
    <w:name w:val="Заголовок 9 Знак"/>
    <w:basedOn w:val="DefaultParagraphFont"/>
    <w:link w:val="Heading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1" w:customStyle="1">
    <w:name w:val="Основной текст с отступом 2 Знак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2" w:customStyle="1">
    <w:name w:val="Основной текст 2 Знак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link w:val="FootnoteTex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character" w:styleId="Style11" w:customStyle="1">
    <w:name w:val="цвет в таблице"/>
    <w:qFormat/>
    <w:rsid w:val="00de39d8"/>
    <w:rPr>
      <w:color w:val="2C8DE6"/>
    </w:rPr>
  </w:style>
  <w:style w:type="character" w:styleId="-1" w:customStyle="1">
    <w:name w:val="!Заголовок-1 Знак"/>
    <w:link w:val="-1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2" w:customStyle="1">
    <w:name w:val="!Текст Знак"/>
    <w:link w:val="Style20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3" w:customStyle="1">
    <w:name w:val="выделение цвет Знак"/>
    <w:link w:val="Style19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4" w:customStyle="1">
    <w:name w:val="!Синий заголовок текста Знак"/>
    <w:link w:val="Style21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5" w:customStyle="1">
    <w:name w:val="!Список с точками Знак"/>
    <w:link w:val="Style22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-" w:customStyle="1">
    <w:name w:val="Интернет-ссылка"/>
    <w:qFormat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Comment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3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9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7"/>
    <w:uiPriority w:val="1"/>
    <w:qFormat/>
    <w:rsid w:val="00b45a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8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1"/>
    <w:semiHidden/>
    <w:qFormat/>
    <w:rsid w:val="00de39d8"/>
    <w:pPr>
      <w:spacing w:lineRule="auto" w:line="360" w:before="0" w:after="0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2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1">
    <w:name w:val="caption1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2" w:customStyle="1">
    <w:name w:val="Абзац списка1"/>
    <w:basedOn w:val="Normal"/>
    <w:qFormat/>
    <w:rsid w:val="00de39d8"/>
    <w:pPr>
      <w:spacing w:lineRule="auto" w:line="360" w:before="0" w:after="0"/>
      <w:ind w:left="720"/>
    </w:pPr>
    <w:rPr>
      <w:rFonts w:ascii="Arial" w:hAnsi="Arial"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Style10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18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19" w:customStyle="1">
    <w:name w:val="выделение цвет"/>
    <w:basedOn w:val="Normal"/>
    <w:link w:val="Style13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/>
    </w:pPr>
    <w:rPr>
      <w:rFonts w:ascii="Calibri" w:hAnsi="Calibri" w:eastAsia="Times New Roman" w:cs="Times New Roman"/>
      <w:lang w:eastAsia="ru-RU"/>
    </w:rPr>
  </w:style>
  <w:style w:type="paragraph" w:styleId="-11" w:customStyle="1">
    <w:name w:val="!Заголовок-1"/>
    <w:basedOn w:val="Heading1"/>
    <w:link w:val="-1"/>
    <w:qFormat/>
    <w:rsid w:val="00de39d8"/>
    <w:pPr/>
    <w:rPr>
      <w:lang w:val="ru-RU"/>
    </w:rPr>
  </w:style>
  <w:style w:type="paragraph" w:styleId="-21" w:customStyle="1">
    <w:name w:val="!заголовок-2"/>
    <w:basedOn w:val="Heading2"/>
    <w:link w:val="-2"/>
    <w:qFormat/>
    <w:rsid w:val="00de39d8"/>
    <w:pPr/>
    <w:rPr>
      <w:lang w:val="ru-RU"/>
    </w:rPr>
  </w:style>
  <w:style w:type="paragraph" w:styleId="Style20" w:customStyle="1">
    <w:name w:val="!Текст"/>
    <w:basedOn w:val="Normal"/>
    <w:link w:val="Style12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1" w:customStyle="1">
    <w:name w:val="!Синий заголовок текста"/>
    <w:basedOn w:val="Style19"/>
    <w:link w:val="Style14"/>
    <w:qFormat/>
    <w:rsid w:val="00de39d8"/>
    <w:pPr/>
    <w:rPr/>
  </w:style>
  <w:style w:type="paragraph" w:styleId="Style22" w:customStyle="1">
    <w:name w:val="!Список с точками"/>
    <w:basedOn w:val="Normal"/>
    <w:link w:val="Style15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Style23" w:customStyle="1">
    <w:name w:val="Базовый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CommentText">
    <w:name w:val="annotation text"/>
    <w:basedOn w:val="Normal"/>
    <w:link w:val="Style16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17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BodyText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LibreOffice/24.8.2.1$Windows_X86_64 LibreOffice_project/0f794b6e29741098670a3b95d60478a65d05ef13</Application>
  <AppVersion>15.0000</AppVersion>
  <Pages>3</Pages>
  <Words>719</Words>
  <Characters>4944</Characters>
  <CharactersWithSpaces>5578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  <dc:description/>
  <dc:language>en-US</dc:language>
  <cp:lastModifiedBy>Boris Yershov</cp:lastModifiedBy>
  <dcterms:modified xsi:type="dcterms:W3CDTF">2024-10-22T00:27:27Z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