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E0040">
        <w:tc>
          <w:tcPr>
            <w:tcW w:w="5670" w:type="dxa"/>
          </w:tcPr>
          <w:p w14:paraId="47F3FA14" w14:textId="77777777" w:rsidR="00666BDD" w:rsidRDefault="00666BDD" w:rsidP="004E004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7898C4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D0926">
            <w:rPr>
              <w:rFonts w:ascii="Times New Roman" w:eastAsia="Arial Unicode MS" w:hAnsi="Times New Roman" w:cs="Times New Roman"/>
              <w:sz w:val="40"/>
              <w:szCs w:val="40"/>
            </w:rPr>
            <w:t>ПОЛИГРАФИЧЕСКИЕ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ABA3221" w:rsidR="00D83E4E" w:rsidRDefault="009D092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D0926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9D518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BEEC1FB" w14:textId="77777777" w:rsidR="009D5181" w:rsidRDefault="009D5181" w:rsidP="009D518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1948470" w14:textId="77777777" w:rsidR="009D5181" w:rsidRDefault="009D5181" w:rsidP="009D518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9D518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5989280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3B69997" w:rsidR="009B18A2" w:rsidRDefault="009D092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D5181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9D0926" w:rsidRDefault="0029547E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9D0926">
          <w:rPr>
            <w:rStyle w:val="ae"/>
          </w:rPr>
          <w:t>1</w:t>
        </w:r>
        <w:r w:rsidR="00A4187F" w:rsidRPr="009D0926">
          <w:rPr>
            <w:rStyle w:val="ae"/>
            <w:b w:val="0"/>
          </w:rPr>
          <w:t xml:space="preserve">. </w:t>
        </w:r>
        <w:r w:rsidR="00A4187F" w:rsidRPr="009D0926">
          <w:rPr>
            <w:rStyle w:val="ae"/>
          </w:rPr>
          <w:t>ОСНОВНЫЕ ТРЕБОВАНИЯ КОМПЕТЕНЦИИ</w:t>
        </w:r>
        <w:r w:rsidR="00A4187F" w:rsidRPr="009D0926">
          <w:rPr>
            <w:webHidden/>
          </w:rPr>
          <w:tab/>
        </w:r>
        <w:r w:rsidR="00A4187F" w:rsidRPr="009D0926">
          <w:rPr>
            <w:webHidden/>
          </w:rPr>
          <w:fldChar w:fldCharType="begin"/>
        </w:r>
        <w:r w:rsidR="00A4187F" w:rsidRPr="009D0926">
          <w:rPr>
            <w:webHidden/>
          </w:rPr>
          <w:instrText xml:space="preserve"> PAGEREF _Toc142037183 \h </w:instrText>
        </w:r>
        <w:r w:rsidR="00A4187F" w:rsidRPr="009D0926">
          <w:rPr>
            <w:webHidden/>
          </w:rPr>
        </w:r>
        <w:r w:rsidR="00A4187F" w:rsidRPr="009D0926">
          <w:rPr>
            <w:webHidden/>
          </w:rPr>
          <w:fldChar w:fldCharType="separate"/>
        </w:r>
        <w:r w:rsidR="00AA068E">
          <w:rPr>
            <w:webHidden/>
          </w:rPr>
          <w:t>3</w:t>
        </w:r>
        <w:r w:rsidR="00A4187F" w:rsidRPr="009D0926">
          <w:rPr>
            <w:webHidden/>
          </w:rPr>
          <w:fldChar w:fldCharType="end"/>
        </w:r>
      </w:hyperlink>
    </w:p>
    <w:p w14:paraId="6C1733B9" w14:textId="76EF06F8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D35CB4E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9D0926">
          <w:rPr>
            <w:rStyle w:val="ae"/>
            <w:noProof/>
            <w:sz w:val="24"/>
            <w:szCs w:val="24"/>
          </w:rPr>
          <w:t>Полиграфические технологии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9D5181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</w:rPr>
          <w:t>2. СПЕЦИАЛЬНЫЕ ПРАВИЛА КОМПЕТЕНЦИИ</w:t>
        </w:r>
        <w:r w:rsidR="00A4187F" w:rsidRPr="00A4187F">
          <w:rPr>
            <w:webHidden/>
          </w:rPr>
          <w:tab/>
        </w:r>
        <w:r w:rsidR="00A4187F" w:rsidRPr="00A4187F">
          <w:rPr>
            <w:webHidden/>
          </w:rPr>
          <w:fldChar w:fldCharType="begin"/>
        </w:r>
        <w:r w:rsidR="00A4187F" w:rsidRPr="00A4187F">
          <w:rPr>
            <w:webHidden/>
          </w:rPr>
          <w:instrText xml:space="preserve"> PAGEREF _Toc142037191 \h </w:instrText>
        </w:r>
        <w:r w:rsidR="00A4187F" w:rsidRPr="00A4187F">
          <w:rPr>
            <w:webHidden/>
          </w:rPr>
        </w:r>
        <w:r w:rsidR="00A4187F" w:rsidRPr="00A4187F">
          <w:rPr>
            <w:webHidden/>
          </w:rPr>
          <w:fldChar w:fldCharType="separate"/>
        </w:r>
        <w:r w:rsidR="00AA068E">
          <w:rPr>
            <w:webHidden/>
          </w:rPr>
          <w:t>16</w:t>
        </w:r>
        <w:r w:rsidR="00A4187F" w:rsidRPr="00A4187F">
          <w:rPr>
            <w:webHidden/>
          </w:rPr>
          <w:fldChar w:fldCharType="end"/>
        </w:r>
      </w:hyperlink>
    </w:p>
    <w:p w14:paraId="31D141A1" w14:textId="3D1D5BED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9D518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A06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9D5181" w:rsidP="009D0926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</w:rPr>
          <w:t>3. ПРИЛОЖЕНИЯ</w:t>
        </w:r>
        <w:r w:rsidR="00A4187F" w:rsidRPr="00A4187F">
          <w:rPr>
            <w:webHidden/>
          </w:rPr>
          <w:tab/>
        </w:r>
        <w:r w:rsidR="00A4187F" w:rsidRPr="00A4187F">
          <w:rPr>
            <w:webHidden/>
          </w:rPr>
          <w:fldChar w:fldCharType="begin"/>
        </w:r>
        <w:r w:rsidR="00A4187F" w:rsidRPr="00A4187F">
          <w:rPr>
            <w:webHidden/>
          </w:rPr>
          <w:instrText xml:space="preserve"> PAGEREF _Toc142037194 \h </w:instrText>
        </w:r>
        <w:r w:rsidR="00A4187F" w:rsidRPr="00A4187F">
          <w:rPr>
            <w:webHidden/>
          </w:rPr>
        </w:r>
        <w:r w:rsidR="00A4187F" w:rsidRPr="00A4187F">
          <w:rPr>
            <w:webHidden/>
          </w:rPr>
          <w:fldChar w:fldCharType="separate"/>
        </w:r>
        <w:r w:rsidR="00AA068E">
          <w:rPr>
            <w:webHidden/>
          </w:rPr>
          <w:t>16</w:t>
        </w:r>
        <w:r w:rsidR="00A4187F" w:rsidRPr="00A4187F">
          <w:rPr>
            <w:webHidden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Style w:val="StGen1"/>
        <w:tblW w:w="9629" w:type="dxa"/>
        <w:tblInd w:w="0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9D0926" w14:paraId="4760F89F" w14:textId="77777777" w:rsidTr="004E0040">
        <w:tc>
          <w:tcPr>
            <w:tcW w:w="673" w:type="dxa"/>
            <w:vAlign w:val="bottom"/>
          </w:tcPr>
          <w:p w14:paraId="047BA235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60A802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14:paraId="2BE33B26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Менеджер компетенции</w:t>
            </w:r>
          </w:p>
        </w:tc>
      </w:tr>
      <w:tr w:rsidR="009D0926" w14:paraId="57829B71" w14:textId="77777777" w:rsidTr="004E0040">
        <w:tc>
          <w:tcPr>
            <w:tcW w:w="673" w:type="dxa"/>
            <w:vAlign w:val="bottom"/>
          </w:tcPr>
          <w:p w14:paraId="6E2EC11A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2B2FE6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14:paraId="77D5935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Технический эксперт</w:t>
            </w:r>
          </w:p>
        </w:tc>
      </w:tr>
      <w:tr w:rsidR="009D0926" w14:paraId="321461A7" w14:textId="77777777" w:rsidTr="004E0040">
        <w:tc>
          <w:tcPr>
            <w:tcW w:w="673" w:type="dxa"/>
            <w:vAlign w:val="bottom"/>
          </w:tcPr>
          <w:p w14:paraId="48921D49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87A4E3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14:paraId="77166B04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9D0926" w14:paraId="75B42192" w14:textId="77777777" w:rsidTr="004E0040">
        <w:tc>
          <w:tcPr>
            <w:tcW w:w="673" w:type="dxa"/>
            <w:vAlign w:val="bottom"/>
          </w:tcPr>
          <w:p w14:paraId="52F31E68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53E25458" w14:textId="5561D0F5" w:rsidR="009D0926" w:rsidRDefault="009D0926" w:rsidP="009D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ЭН</w:t>
            </w:r>
          </w:p>
        </w:tc>
        <w:tc>
          <w:tcPr>
            <w:tcW w:w="7029" w:type="dxa"/>
            <w:vAlign w:val="bottom"/>
          </w:tcPr>
          <w:p w14:paraId="2CCAA8A2" w14:textId="000EEE11" w:rsidR="009D0926" w:rsidRDefault="009D0926" w:rsidP="009D09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Эксперт-наставник</w:t>
            </w:r>
          </w:p>
        </w:tc>
      </w:tr>
      <w:tr w:rsidR="009D0926" w14:paraId="33FF3C0A" w14:textId="77777777" w:rsidTr="004E0040">
        <w:tc>
          <w:tcPr>
            <w:tcW w:w="673" w:type="dxa"/>
            <w:vAlign w:val="bottom"/>
          </w:tcPr>
          <w:p w14:paraId="1A78CC43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740E14F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14:paraId="7F106BA9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9D0926" w14:paraId="7F1E7D4D" w14:textId="77777777" w:rsidTr="004E0040">
        <w:tc>
          <w:tcPr>
            <w:tcW w:w="673" w:type="dxa"/>
            <w:vAlign w:val="bottom"/>
          </w:tcPr>
          <w:p w14:paraId="61AF1908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5603A1A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14:paraId="27A1A408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9D0926" w14:paraId="497ADFFD" w14:textId="77777777" w:rsidTr="004E0040">
        <w:tc>
          <w:tcPr>
            <w:tcW w:w="673" w:type="dxa"/>
            <w:vAlign w:val="bottom"/>
          </w:tcPr>
          <w:p w14:paraId="4FB9EE3B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AF51FA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14:paraId="18CB474C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9D0926" w14:paraId="32C62E54" w14:textId="77777777" w:rsidTr="004E0040">
        <w:tc>
          <w:tcPr>
            <w:tcW w:w="673" w:type="dxa"/>
            <w:vAlign w:val="bottom"/>
          </w:tcPr>
          <w:p w14:paraId="09EFBB4A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4CF0B935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14:paraId="49FE105A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9D0926" w14:paraId="6C9541CA" w14:textId="77777777" w:rsidTr="004E0040">
        <w:tc>
          <w:tcPr>
            <w:tcW w:w="673" w:type="dxa"/>
            <w:vAlign w:val="bottom"/>
          </w:tcPr>
          <w:p w14:paraId="77EC19FD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37ADF81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14:paraId="28129971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  <w:tr w:rsidR="009D0926" w14:paraId="2637A05C" w14:textId="77777777" w:rsidTr="004E0040">
        <w:tc>
          <w:tcPr>
            <w:tcW w:w="673" w:type="dxa"/>
            <w:vAlign w:val="bottom"/>
          </w:tcPr>
          <w:p w14:paraId="3509D600" w14:textId="77777777" w:rsidR="009D0926" w:rsidRPr="00376673" w:rsidRDefault="009D0926" w:rsidP="009D0926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55637BF7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14:paraId="649794E2" w14:textId="77777777" w:rsidR="009D0926" w:rsidRDefault="009D0926" w:rsidP="004E00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Контрольно-измерительные материалы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CE5397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D0926">
        <w:rPr>
          <w:rFonts w:ascii="Times New Roman" w:hAnsi="Times New Roman" w:cs="Times New Roman"/>
          <w:sz w:val="28"/>
          <w:szCs w:val="28"/>
        </w:rPr>
        <w:t>Полиграфические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C42354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D0926">
        <w:rPr>
          <w:rFonts w:ascii="Times New Roman" w:hAnsi="Times New Roman"/>
          <w:sz w:val="24"/>
        </w:rPr>
        <w:t>ПОЛИГРАФИЧЕСКИЕ ТЕХНОЛОГИИ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66475A" w:rsidRPr="003732A7" w14:paraId="05FE975F" w14:textId="77777777" w:rsidTr="004E0040">
        <w:tc>
          <w:tcPr>
            <w:tcW w:w="330" w:type="pct"/>
            <w:shd w:val="clear" w:color="auto" w:fill="92D050"/>
            <w:vAlign w:val="center"/>
          </w:tcPr>
          <w:p w14:paraId="07D13E22" w14:textId="77777777" w:rsidR="0066475A" w:rsidRPr="0066475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014940AC" w14:textId="77777777" w:rsidR="0066475A" w:rsidRPr="0066475A" w:rsidRDefault="0066475A" w:rsidP="004E0040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highlight w:val="green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7242C14D" w14:textId="77777777" w:rsidR="0066475A" w:rsidRPr="0066475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Важность в %</w:t>
            </w:r>
          </w:p>
        </w:tc>
      </w:tr>
      <w:tr w:rsidR="0066475A" w:rsidRPr="003732A7" w14:paraId="33F4A1CE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301C1D9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5766D5C" w14:textId="77777777" w:rsidR="0066475A" w:rsidRPr="009C7122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B4E3FDB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6475A" w:rsidRPr="003732A7" w14:paraId="4C48036D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F02F3B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B50CAA3" w14:textId="77777777" w:rsidR="0066475A" w:rsidRPr="009C7122" w:rsidRDefault="0066475A" w:rsidP="004E00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57AD81B" w14:textId="77777777" w:rsidR="0066475A" w:rsidRPr="001B18E3" w:rsidRDefault="0066475A" w:rsidP="0066475A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14:paraId="34C17E9E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 и данные по соблюдению техники безопасности, предоставленные производителями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оборудования;</w:t>
            </w:r>
          </w:p>
          <w:p w14:paraId="7E23421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14:paraId="29AAA21A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14:paraId="12199923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14:paraId="7B14977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навыков</w:t>
            </w:r>
            <w:r w:rsidRPr="001B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эффективного взаимодействия и работы в команде; </w:t>
            </w:r>
          </w:p>
          <w:p w14:paraId="6002F868" w14:textId="77777777" w:rsidR="0066475A" w:rsidRPr="001B18E3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00A1B1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D2F365B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B85DAB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8EE2045" w14:textId="77777777" w:rsidR="0066475A" w:rsidRPr="0024697D" w:rsidRDefault="0066475A" w:rsidP="004E00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258C4EC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14:paraId="228751A6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14:paraId="3C5424D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14:paraId="03158321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14:paraId="6B543F9C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14:paraId="1A192D7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14:paraId="52F257A4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14:paraId="361922DE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14:paraId="7D5B74E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14:paraId="38A02B4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14:paraId="73A99544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14:paraId="4BD0344F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14:paraId="0D73960A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14:paraId="264FC138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CB4550A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B7B753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44ECBD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5A3B0AE4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61DACD0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66475A" w:rsidRPr="003732A7" w14:paraId="64FB7A7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4B932C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059C591" w14:textId="77777777" w:rsidR="0066475A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EFD298F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14:paraId="513043A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14:paraId="439FCB9C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14:paraId="6453022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14:paraId="5F857963" w14:textId="77777777" w:rsidR="0066475A" w:rsidRPr="0024697D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E8EBD28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0F0994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967715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D633587" w14:textId="77777777" w:rsidR="0066475A" w:rsidRPr="006C4D0B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20927CD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14:paraId="2448C05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коллегам содержание карты заказа и плана работы для себя и других;</w:t>
            </w:r>
          </w:p>
          <w:p w14:paraId="16067290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14:paraId="1065CC51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14:paraId="2C5BF646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14:paraId="5F03B3C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14:paraId="2C146C5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14:paraId="268C8B3D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C669E4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14:paraId="6ED93BA6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14:paraId="1ED237D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14:paraId="01B4A8D8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14:paraId="0ABE1E5E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14:paraId="3A9FC2F5" w14:textId="77777777" w:rsidR="0066475A" w:rsidRPr="006C4D0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14:paraId="1E07146D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0A76594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71AF62F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355A0A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ECC0746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440055F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66475A" w:rsidRPr="003732A7" w14:paraId="5DA62D47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635FD6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F606AC3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0EC8265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3C534870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20ED22B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A1A185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BE6CB7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5D9CFE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5CA780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928A34" w14:textId="77777777" w:rsidR="0066475A" w:rsidRPr="002F517C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CCC948" w14:textId="77777777" w:rsidR="0066475A" w:rsidRPr="00B4311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</w:t>
            </w:r>
            <w:r w:rsidRPr="002F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A529836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3AFC2215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23D894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9389329" w14:textId="77777777" w:rsidR="0066475A" w:rsidRPr="00B4311B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A726D3A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D5220A" w14:textId="77777777" w:rsidR="0066475A" w:rsidRPr="00B4311B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6587968C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DA76C8D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6C7C034F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5B456B1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226EC70E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D71637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6475A" w:rsidRPr="003732A7" w14:paraId="34A96BE3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97EAE7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B1B8DD7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B1D3691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7AC31AC2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14:paraId="29E68C9F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14:paraId="0CAD8B41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14:paraId="78C3E7C5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14:paraId="0E9F6263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14:paraId="138E2026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14:paraId="4E73FD6A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2CD9A68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62D8CAE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9CB0B7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03440BC" w14:textId="77777777" w:rsidR="0066475A" w:rsidRPr="00FB0BEE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FA4477C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14:paraId="3C573C0F" w14:textId="77777777" w:rsidR="0066475A" w:rsidRPr="00FB0BEE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79A7E762" w14:textId="77777777" w:rsidR="0066475A" w:rsidRPr="00915931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96495EF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53B90CD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ED4BB9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77ED471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7A8E3E4" w14:textId="77777777" w:rsidR="0066475A" w:rsidRPr="000244DA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66475A" w:rsidRPr="003732A7" w14:paraId="17294181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2EBC52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0FB8A4D" w14:textId="77777777" w:rsidR="0066475A" w:rsidRPr="0069253A" w:rsidRDefault="0066475A" w:rsidP="004E004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CF5971E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  <w:r>
              <w:t xml:space="preserve"> </w:t>
            </w:r>
          </w:p>
          <w:p w14:paraId="74B3505B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печатной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1EBA02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14:paraId="1BD29773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обеспечения высокого уровня печати и соответствия результатов требованиям и ожиданиям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08DD82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426B00C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3CA4E3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8E5ADB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0347D" w14:textId="77777777" w:rsidR="0066475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A2A6A58" w14:textId="77777777" w:rsidR="0066475A" w:rsidRPr="00D44036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83E57A9" w14:textId="77777777" w:rsidR="0066475A" w:rsidRPr="000244DA" w:rsidRDefault="0066475A" w:rsidP="0066475A">
            <w:pPr>
              <w:widowControl w:val="0"/>
              <w:numPr>
                <w:ilvl w:val="0"/>
                <w:numId w:val="25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AB5AFE2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57DF7B43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C2A185" w14:textId="77777777" w:rsidR="0066475A" w:rsidRPr="000244D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9BB32DF" w14:textId="77777777" w:rsidR="0066475A" w:rsidRPr="00FB0BEE" w:rsidRDefault="0066475A" w:rsidP="004E004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D9B80C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14:paraId="51A773F5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201863FC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2C07630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14:paraId="0C82FFC2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14:paraId="189A73AB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14:paraId="785437D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1EE3ED1" w14:textId="77777777" w:rsidR="0066475A" w:rsidRPr="00BA043B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стандартными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параметрами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ECB55D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14:paraId="02F677AC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14:paraId="4459AE84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F88DE2A" w14:textId="77777777" w:rsidR="0066475A" w:rsidRPr="00D44036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0BFC46F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08975DC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88A83C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CAAE482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D197B" w14:textId="77777777" w:rsidR="0066475A" w:rsidRPr="007144C6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6475A" w:rsidRPr="003732A7" w14:paraId="5E663A2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F44EF7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48626C3" w14:textId="77777777" w:rsidR="0066475A" w:rsidRPr="00B85B15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89AFD4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14:paraId="222B1935" w14:textId="77777777" w:rsidR="0066475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A72BAC7" w14:textId="77777777" w:rsidR="0066475A" w:rsidRPr="00B85B1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44ACB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7460CED1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D25718" w14:textId="77777777" w:rsidR="0066475A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3F489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7A8E3D1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5389DAC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14:paraId="680593AB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14:paraId="38FEEC33" w14:textId="77777777" w:rsidR="0066475A" w:rsidRPr="004D40EA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фальцевальную машину для обеспечения соответствия продукции требованиям заказчика;</w:t>
            </w:r>
          </w:p>
          <w:p w14:paraId="26B83BA4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проволокошвейную машину (или степлер)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D7A0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78BA47F0" w14:textId="77777777" w:rsidTr="004E004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0EB22E2" w14:textId="77777777" w:rsidR="0066475A" w:rsidRPr="00D36751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7A614CA" w14:textId="77777777" w:rsidR="0066475A" w:rsidRPr="000244DA" w:rsidRDefault="0066475A" w:rsidP="004E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8574F" w14:textId="77777777" w:rsidR="0066475A" w:rsidRPr="007144C6" w:rsidRDefault="0066475A" w:rsidP="004E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6475A" w:rsidRPr="003732A7" w14:paraId="0A97896C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66C504" w14:textId="77777777" w:rsidR="0066475A" w:rsidRPr="00D36751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AA0E37A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9437B90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14:paraId="0CE81EA7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FECB041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2814E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5A" w:rsidRPr="003732A7" w14:paraId="185D72EA" w14:textId="77777777" w:rsidTr="004E004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7F9FEA" w14:textId="77777777" w:rsidR="0066475A" w:rsidRPr="00090B17" w:rsidRDefault="0066475A" w:rsidP="004E0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526D03E" w14:textId="77777777" w:rsidR="0066475A" w:rsidRPr="00D36751" w:rsidRDefault="0066475A" w:rsidP="004E0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D0F9424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14:paraId="39B31D11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76EF5E9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6DCB23A" w14:textId="77777777" w:rsidR="0066475A" w:rsidRPr="00205A25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14:paraId="3BAE38F5" w14:textId="77777777" w:rsidR="0066475A" w:rsidRPr="00D36751" w:rsidRDefault="0066475A" w:rsidP="0066475A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25CBD956" w14:textId="77777777" w:rsidR="0066475A" w:rsidRPr="000244DA" w:rsidRDefault="0066475A" w:rsidP="004E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310"/>
        <w:gridCol w:w="1394"/>
        <w:gridCol w:w="1394"/>
        <w:gridCol w:w="1394"/>
        <w:gridCol w:w="1394"/>
        <w:gridCol w:w="1870"/>
      </w:tblGrid>
      <w:tr w:rsidR="004E785E" w:rsidRPr="00613219" w14:paraId="0A2AADAC" w14:textId="77777777" w:rsidTr="007E1D97">
        <w:trPr>
          <w:trHeight w:val="1538"/>
          <w:jc w:val="center"/>
        </w:trPr>
        <w:tc>
          <w:tcPr>
            <w:tcW w:w="4029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7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6475A" w:rsidRPr="00613219" w14:paraId="6EDBED15" w14:textId="77777777" w:rsidTr="007E1D97">
        <w:trPr>
          <w:trHeight w:val="50"/>
          <w:jc w:val="center"/>
        </w:trPr>
        <w:tc>
          <w:tcPr>
            <w:tcW w:w="972" w:type="pct"/>
            <w:vMerge w:val="restart"/>
            <w:shd w:val="clear" w:color="auto" w:fill="92D050"/>
            <w:vAlign w:val="center"/>
          </w:tcPr>
          <w:p w14:paraId="22554985" w14:textId="0EDAD76E" w:rsidR="0066475A" w:rsidRPr="00613219" w:rsidRDefault="0066475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14:paraId="3CF24956" w14:textId="77777777" w:rsidR="0066475A" w:rsidRPr="00613219" w:rsidRDefault="0066475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00B050"/>
            <w:vAlign w:val="center"/>
          </w:tcPr>
          <w:p w14:paraId="35F42FCD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73DA90DA" w14:textId="11265A4A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22F4030B" w14:textId="447655FE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5D19332A" w14:textId="06522A95" w:rsidR="0066475A" w:rsidRPr="0066475A" w:rsidRDefault="0066475A" w:rsidP="0066475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089247DF" w14:textId="77777777" w:rsidR="0066475A" w:rsidRPr="00613219" w:rsidRDefault="0066475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6475A" w:rsidRPr="00613219" w14:paraId="61D77BE1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6232BE1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E5703EC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4" w:type="pct"/>
            <w:vAlign w:val="center"/>
          </w:tcPr>
          <w:p w14:paraId="3B3E3C84" w14:textId="6956F3A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24" w:type="pct"/>
            <w:vAlign w:val="center"/>
          </w:tcPr>
          <w:p w14:paraId="5DA46E3D" w14:textId="1941A0A4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724" w:type="pct"/>
            <w:vAlign w:val="center"/>
          </w:tcPr>
          <w:p w14:paraId="082615A5" w14:textId="44633FD0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24" w:type="pct"/>
            <w:vAlign w:val="center"/>
          </w:tcPr>
          <w:p w14:paraId="0A63AAA5" w14:textId="4FD23945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712CE198" w14:textId="6D5E53A0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4</w:t>
            </w:r>
          </w:p>
        </w:tc>
      </w:tr>
      <w:tr w:rsidR="0066475A" w:rsidRPr="00613219" w14:paraId="4EB85C79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22B843BA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20AFA02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4" w:type="pct"/>
            <w:vAlign w:val="center"/>
          </w:tcPr>
          <w:p w14:paraId="4A25E47C" w14:textId="47CD5290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pct"/>
            <w:vAlign w:val="center"/>
          </w:tcPr>
          <w:p w14:paraId="2ABB4702" w14:textId="05BC7478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724" w:type="pct"/>
            <w:vAlign w:val="center"/>
          </w:tcPr>
          <w:p w14:paraId="6D9FE905" w14:textId="2E93ED0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724" w:type="pct"/>
            <w:vAlign w:val="center"/>
          </w:tcPr>
          <w:p w14:paraId="5D8D8451" w14:textId="4EEBF56A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6E5BB194" w14:textId="56BB0F0B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21</w:t>
            </w:r>
          </w:p>
        </w:tc>
      </w:tr>
      <w:tr w:rsidR="0066475A" w:rsidRPr="00613219" w14:paraId="270858FE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11C06268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C8BD818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4" w:type="pct"/>
            <w:vAlign w:val="center"/>
          </w:tcPr>
          <w:p w14:paraId="3BEDDFEB" w14:textId="2AE52772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4" w:type="pct"/>
            <w:vAlign w:val="center"/>
          </w:tcPr>
          <w:p w14:paraId="2FB413FD" w14:textId="29CCDE9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2A6F8DAE" w14:textId="7BF9C11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245802AE" w14:textId="4D32CC2F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5C37911" w14:textId="613D04D1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21</w:t>
            </w:r>
          </w:p>
        </w:tc>
      </w:tr>
      <w:tr w:rsidR="0066475A" w:rsidRPr="00613219" w14:paraId="729DCFA9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64ADD9F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124CBF9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pct"/>
            <w:vAlign w:val="center"/>
          </w:tcPr>
          <w:p w14:paraId="7BB1AD33" w14:textId="3426FEAE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6A4E8200" w14:textId="3384D74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4" w:type="pct"/>
            <w:vAlign w:val="center"/>
          </w:tcPr>
          <w:p w14:paraId="60DE24C5" w14:textId="3770B5F8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119764A1" w14:textId="30CFF766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5CA64B26" w14:textId="7CEEAE5F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8</w:t>
            </w:r>
          </w:p>
        </w:tc>
      </w:tr>
      <w:tr w:rsidR="0066475A" w:rsidRPr="00613219" w14:paraId="22BB9E7A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2B3484F3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8DD302D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4" w:type="pct"/>
            <w:vAlign w:val="center"/>
          </w:tcPr>
          <w:p w14:paraId="788DF647" w14:textId="570530E0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724" w:type="pct"/>
            <w:vAlign w:val="center"/>
          </w:tcPr>
          <w:p w14:paraId="792DEA04" w14:textId="0A44432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14:paraId="71778EC4" w14:textId="7A01AA41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24" w:type="pct"/>
            <w:vAlign w:val="center"/>
          </w:tcPr>
          <w:p w14:paraId="6199ECC4" w14:textId="3552D31B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A57BB5C" w14:textId="6BA47AA7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34</w:t>
            </w:r>
          </w:p>
        </w:tc>
      </w:tr>
      <w:tr w:rsidR="0066475A" w:rsidRPr="00613219" w14:paraId="78D47C38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12BB70EF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3BE846A8" w14:textId="77777777" w:rsidR="0066475A" w:rsidRPr="00613219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4" w:type="pct"/>
            <w:vAlign w:val="center"/>
          </w:tcPr>
          <w:p w14:paraId="58EB7FF5" w14:textId="7D30EF24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5D98CD8B" w14:textId="77D1AA2D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24" w:type="pct"/>
            <w:vAlign w:val="center"/>
          </w:tcPr>
          <w:p w14:paraId="4A122AC8" w14:textId="2CED848A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02DB999C" w14:textId="45797E7C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CF75DC1" w14:textId="20025A85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8</w:t>
            </w:r>
          </w:p>
        </w:tc>
      </w:tr>
      <w:tr w:rsidR="0066475A" w:rsidRPr="00613219" w14:paraId="104B3A32" w14:textId="77777777" w:rsidTr="007E1D97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02836410" w14:textId="77777777" w:rsidR="0066475A" w:rsidRPr="00613219" w:rsidRDefault="0066475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05A276F5" w14:textId="2A410B58" w:rsidR="0066475A" w:rsidRPr="0066475A" w:rsidRDefault="006647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14:paraId="44BA50E0" w14:textId="59533C40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24" w:type="pct"/>
            <w:vAlign w:val="center"/>
          </w:tcPr>
          <w:p w14:paraId="3ABD70DD" w14:textId="417A6D38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24" w:type="pct"/>
            <w:vAlign w:val="center"/>
          </w:tcPr>
          <w:p w14:paraId="109FB47E" w14:textId="2F025E74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24" w:type="pct"/>
            <w:vAlign w:val="center"/>
          </w:tcPr>
          <w:p w14:paraId="173435AF" w14:textId="60F6466B" w:rsidR="0066475A" w:rsidRPr="00613219" w:rsidRDefault="007E1D9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8FC40B5" w14:textId="155771EB" w:rsidR="0066475A" w:rsidRPr="007E1D97" w:rsidRDefault="007E1D97" w:rsidP="00C17B01">
            <w:pPr>
              <w:jc w:val="center"/>
              <w:rPr>
                <w:b/>
                <w:sz w:val="22"/>
                <w:szCs w:val="22"/>
              </w:rPr>
            </w:pPr>
            <w:r w:rsidRPr="007E1D97">
              <w:rPr>
                <w:b/>
                <w:sz w:val="22"/>
                <w:szCs w:val="22"/>
              </w:rPr>
              <w:t>4</w:t>
            </w:r>
          </w:p>
        </w:tc>
      </w:tr>
      <w:tr w:rsidR="0066475A" w:rsidRPr="00613219" w14:paraId="7A651F98" w14:textId="77777777" w:rsidTr="007E1D97">
        <w:trPr>
          <w:trHeight w:val="50"/>
          <w:jc w:val="center"/>
        </w:trPr>
        <w:tc>
          <w:tcPr>
            <w:tcW w:w="1133" w:type="pct"/>
            <w:gridSpan w:val="2"/>
            <w:shd w:val="clear" w:color="auto" w:fill="00B050"/>
            <w:vAlign w:val="center"/>
          </w:tcPr>
          <w:p w14:paraId="031BF5E1" w14:textId="36D478B4" w:rsidR="0066475A" w:rsidRPr="00613219" w:rsidRDefault="0066475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62B470B5" w14:textId="449B6A16" w:rsidR="0066475A" w:rsidRPr="00613219" w:rsidRDefault="007E1D97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3F54C3E5" w14:textId="7D947BED" w:rsidR="0066475A" w:rsidRPr="00613219" w:rsidRDefault="007E1D9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31EC0780" w14:textId="55B9B143" w:rsidR="0066475A" w:rsidRPr="00613219" w:rsidRDefault="007E1D97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2EBA648F" w14:textId="4A569BE1" w:rsidR="0066475A" w:rsidRPr="00613219" w:rsidRDefault="007E1D97" w:rsidP="007E1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5498864D" w14:textId="36336B9A" w:rsidR="0066475A" w:rsidRPr="00613219" w:rsidRDefault="0066475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7F42E213" w:rsidR="00613219" w:rsidRDefault="00DE39D8" w:rsidP="00EB6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19"/>
        <w:gridCol w:w="5367"/>
      </w:tblGrid>
      <w:tr w:rsidR="008761F3" w:rsidRPr="009D04EE" w14:paraId="59DCEA44" w14:textId="77777777" w:rsidTr="004E0040">
        <w:tc>
          <w:tcPr>
            <w:tcW w:w="2213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87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4E0040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31" w:type="pct"/>
            <w:shd w:val="clear" w:color="auto" w:fill="92D050"/>
          </w:tcPr>
          <w:p w14:paraId="1D7F47A9" w14:textId="20B21A48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787" w:type="pct"/>
            <w:shd w:val="clear" w:color="auto" w:fill="auto"/>
          </w:tcPr>
          <w:p w14:paraId="360B4BE2" w14:textId="43C3DBC2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1A96BA02" w14:textId="77777777" w:rsidTr="004E0040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31" w:type="pct"/>
            <w:shd w:val="clear" w:color="auto" w:fill="92D050"/>
          </w:tcPr>
          <w:p w14:paraId="62CE117B" w14:textId="3C434873" w:rsidR="00437D28" w:rsidRPr="004904C5" w:rsidRDefault="004E0040" w:rsidP="004E00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787" w:type="pct"/>
            <w:shd w:val="clear" w:color="auto" w:fill="auto"/>
          </w:tcPr>
          <w:p w14:paraId="03F2F467" w14:textId="4BD27AF1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64F34F19" w14:textId="77777777" w:rsidTr="004E0040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31" w:type="pct"/>
            <w:shd w:val="clear" w:color="auto" w:fill="92D050"/>
          </w:tcPr>
          <w:p w14:paraId="4D99A27B" w14:textId="10199A03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787" w:type="pct"/>
            <w:shd w:val="clear" w:color="auto" w:fill="auto"/>
          </w:tcPr>
          <w:p w14:paraId="52821F30" w14:textId="64C344BE" w:rsidR="00437D28" w:rsidRPr="009D04EE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437D28" w:rsidRPr="009D04EE" w14:paraId="21213197" w14:textId="77777777" w:rsidTr="004E0040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31" w:type="pct"/>
            <w:shd w:val="clear" w:color="auto" w:fill="92D050"/>
          </w:tcPr>
          <w:p w14:paraId="7FF01597" w14:textId="6AF3932A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  <w:tc>
          <w:tcPr>
            <w:tcW w:w="2787" w:type="pct"/>
            <w:shd w:val="clear" w:color="auto" w:fill="auto"/>
          </w:tcPr>
          <w:p w14:paraId="387950E5" w14:textId="32311B05" w:rsidR="00437D28" w:rsidRPr="004904C5" w:rsidRDefault="004E00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B6F692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0040" w:rsidRPr="008D4AD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D4AD3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4E0040" w:rsidRPr="008D4AD3">
        <w:rPr>
          <w:rFonts w:ascii="Times New Roman" w:eastAsia="Times New Roman" w:hAnsi="Times New Roman" w:cs="Times New Roman"/>
          <w:sz w:val="28"/>
          <w:szCs w:val="28"/>
        </w:rPr>
        <w:t xml:space="preserve"> 10 мин</w:t>
      </w:r>
    </w:p>
    <w:p w14:paraId="04FBA5D7" w14:textId="2415A32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E0040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B76068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Б, Г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</w:t>
      </w:r>
      <w:bookmarkStart w:id="11" w:name="_GoBack"/>
      <w:bookmarkEnd w:id="11"/>
      <w:r w:rsidR="004E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331E734D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r w:rsidR="00EB61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66294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Офсетная печать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C8090F9" w14:textId="77777777" w:rsidR="00EB619D" w:rsidRPr="00E860F4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60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выполнение модуля – 2 часа</w:t>
      </w:r>
    </w:p>
    <w:p w14:paraId="3B4665B1" w14:textId="77777777" w:rsidR="00EB619D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16B80AD9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84EE9D" w14:textId="12CDA2BC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участнику необходимо внимательно осмотреть рабочее место. Убедиться в наличии всех необходимых инструментов и материалов, </w:t>
      </w:r>
      <w:r w:rsidR="006D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используемых </w:t>
      </w:r>
      <w:r w:rsidR="00C3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КЗ.</w:t>
      </w:r>
    </w:p>
    <w:p w14:paraId="5FC2D752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0CB6045" w14:textId="77777777" w:rsidR="00EB619D" w:rsidRPr="004C6FB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0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ыполнить печать листовой продукции красочность 1+1, тираж 800 экз.</w:t>
      </w:r>
    </w:p>
    <w:p w14:paraId="25391E18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Офсетная печатная машина находится в нулевом состоянии, печатная краска заложена в красочный ящик.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задания у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комплект из 4 печатных форм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бумага из </w:t>
      </w:r>
      <w:r w:rsidRPr="00B8440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КИМ.</w:t>
      </w:r>
    </w:p>
    <w:p w14:paraId="1B444F32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необходимо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входной контроль печатных форм, выбрать те, что соответствуют маркировке по краске. Выполнить необходимые технологические настройки оборудования для печати тиража. Настроить счетчик листов.</w:t>
      </w:r>
    </w:p>
    <w:p w14:paraId="269EE7CA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участнику необходимо настроить листопитающую систему таким образом, чтобы обеспечить безостановочную работу печатной машины, прогнать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 листов. </w:t>
      </w:r>
    </w:p>
    <w:p w14:paraId="392EF3D2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Выполнить общую и местную регулировку краски по изображению на печатной форме. Запустить машину на печать. Выполнить процесс приладки.</w:t>
      </w:r>
    </w:p>
    <w:p w14:paraId="594C850C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процесса приладки, участнику необходимо отложить и подписать приладочные листы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применить для печати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1+0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1+1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), которые будут являться эталоном для печати тиража.</w:t>
      </w:r>
    </w:p>
    <w:p w14:paraId="6798FB51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Приладочные листы должны соответствовать требованиям к качеству печатной продукции, в том числе по нормам оптической плотности краски. </w:t>
      </w:r>
    </w:p>
    <w:p w14:paraId="72EE4A15" w14:textId="77777777" w:rsidR="00EB619D" w:rsidRPr="00B84400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печать тиража. 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печати тиража, участнику необходимо отложить и подписать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00-тый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00-тый тиражные листы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1).</w:t>
      </w:r>
    </w:p>
    <w:p w14:paraId="3A9D0AE7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должен выполнять работу в чистоте и с соблюдением правил и требований по технике безопасности и охране труда. </w:t>
      </w:r>
    </w:p>
    <w:p w14:paraId="35B822C0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работы, рабочее место должно быть убрано. Краска из красочного ящика не убирается, формы не снимаются. Счетчик не обнуляется. Выполняется смывка печатных секций и декеля. </w:t>
      </w:r>
    </w:p>
    <w:p w14:paraId="7419E9A0" w14:textId="77777777" w:rsidR="00EB619D" w:rsidRPr="00D7268B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Участник сдает группе оценивающих экспертов приладочные (эталонные) листы (1+0, 1+1)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тиражные 300-й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600-й листы (1+0, 1+1).</w:t>
      </w:r>
    </w:p>
    <w:p w14:paraId="2124A313" w14:textId="77777777" w:rsidR="00EB619D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90E4CD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3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печать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тиража 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листовой продукции красочность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тираж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00 экз.</w:t>
      </w:r>
    </w:p>
    <w:p w14:paraId="72A6383A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Офсетная печатная машина находится в нулевом состоянии, печатная краска заложена в красочный ящик</w:t>
      </w:r>
      <w:r>
        <w:rPr>
          <w:rStyle w:val="af6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Участнику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комплект из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печатных форм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отпечатанная продукция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</w:t>
      </w:r>
      <w:r w:rsidRPr="00B84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C80C44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выполнить входной контроль печатных форм. Выполнить необходимые технологические настройки оборудования для печати тиража. Настроить счетчик листов.</w:t>
      </w:r>
    </w:p>
    <w:p w14:paraId="2E8B8F01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процессе работы участнику необходимо настроить листопитающую систему таким образом, чтобы обеспечить безостановочную работу печатной машины, прогнать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 листов. </w:t>
      </w:r>
    </w:p>
    <w:p w14:paraId="3AF9EE68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Выполнить общую и местную регулировку краски по изображению на печатной форме. Запустить машину на печать. Выполнить процесс приладки.</w:t>
      </w:r>
    </w:p>
    <w:p w14:paraId="213BEBD7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процесса приладки, участнику необходимо отложить и подписать приладочные листы (</w:t>
      </w:r>
      <w:r w:rsidRPr="00BA2B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применить для печати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2+1</w:t>
      </w:r>
      <w:r w:rsidRPr="00BA2B6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2+2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), которые будут являться эталоном для печати тиража.</w:t>
      </w:r>
    </w:p>
    <w:p w14:paraId="12D36BB4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печати тиража, участнику необходимо отложить и подписать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00-тый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00-тый тиражные листы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53D78EA3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должен выполнять работу в чистоте и с соблюдением правил и требований по технике безопасности и охране труда. </w:t>
      </w:r>
    </w:p>
    <w:p w14:paraId="0F87F08A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работы, рабочее место должно быть убрано. Краска из красочного ящика не убирается, формы не снимаются. Счетчик не обнуляется. Выполняется смывка печатных секций и декеля. </w:t>
      </w:r>
    </w:p>
    <w:p w14:paraId="6D239221" w14:textId="77777777" w:rsidR="00EB619D" w:rsidRPr="00B84400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Участник сдает группе оценивающих экспертов приладочные (эталонные) листы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00-тый,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00-тый контрольные листы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08A9FE71" w14:textId="77777777" w:rsidR="00EB619D" w:rsidRPr="00B84400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92F1AA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4E04F0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48204088" w14:textId="77777777" w:rsidR="00EB619D" w:rsidRPr="00D7268B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Время на выполнение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модуля</w:t>
      </w: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14:paraId="185876FA" w14:textId="77777777" w:rsidR="00EB619D" w:rsidRPr="00D91C3D" w:rsidRDefault="00EB619D" w:rsidP="00EB619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14D918EF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9E4092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3D200046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входной контроль файлов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рассчитать оптимальный формат печатного листа, изготовить спуск полос с учетом завершающих операций. Участнику необходимо выбрать бумагу и порезать ее на выбранный формат печатного листа, учитывая количество экземпляров в тираже. </w:t>
      </w:r>
    </w:p>
    <w:p w14:paraId="0FB7521A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обеспечение для выполнения спуска полос выбирается участником самостоятельно. Файлы со спуском полос сохраняются участником в папку на рабочем столе. Номер папки соответствует номеру участника. </w:t>
      </w:r>
    </w:p>
    <w:p w14:paraId="06D56CAA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следует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настройку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/калибровку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цифровой печатной машины под бумагу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зарегистрировать бумагу в лотке,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приладочн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лист и запустить печать тиража.</w:t>
      </w:r>
    </w:p>
    <w:p w14:paraId="44B67898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оборудование приводится в нулевое состояние. Оставшаяся бумага, приладочные листы и тираж передаются экспертам.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Приладочные листы должны быть подписаны и пронумерованы. Работа без подписи оцениваться не будет.</w:t>
      </w:r>
    </w:p>
    <w:p w14:paraId="273D39F5" w14:textId="77777777" w:rsidR="00EB619D" w:rsidRPr="00C97E44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E54491" w14:textId="158BCA18" w:rsidR="00EB619D" w:rsidRPr="00B52BA9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52B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Визитка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пять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файлов с двухсторонней визиткой, различающихся по формату, но имеющих одинаковое содержание.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Формат визитки стандартный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 90х50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846356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выполнить т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ираж визитки 160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1E3D367" w14:textId="77777777" w:rsidR="00EB619D" w:rsidRPr="00D91C3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1E53E" w14:textId="77777777" w:rsidR="00EB619D" w:rsidRPr="00B52BA9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52B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Книжный блок.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три файла с макетом книжного блока. Файлы одинаковы по содержанию, но два из трех файлов имеют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13458AA" w14:textId="24DB9708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книжного блока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ормат полосы 105х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</w:p>
    <w:p w14:paraId="203A1CC5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выполнить печать 1 экземпляра книжного блока.</w:t>
      </w:r>
    </w:p>
    <w:p w14:paraId="706E6F14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печати участнику необходимо сфальцевать и скомплектовать книжный блок.  </w:t>
      </w:r>
    </w:p>
    <w:p w14:paraId="57A85756" w14:textId="77777777" w:rsidR="00EB619D" w:rsidRPr="00D91C3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Работа в ином виде не оценивается.</w:t>
      </w:r>
    </w:p>
    <w:p w14:paraId="702B6EDB" w14:textId="77777777" w:rsidR="00EB619D" w:rsidRPr="00D91C3D" w:rsidRDefault="00EB619D" w:rsidP="00EB619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48C7FC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Техническое обслуживание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14:paraId="7C2CF51F" w14:textId="77777777" w:rsidR="00EB619D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 – 1 час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30 минут</w:t>
      </w:r>
    </w:p>
    <w:p w14:paraId="63C499A6" w14:textId="77777777" w:rsidR="00EB619D" w:rsidRPr="00B84400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08476B05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6E16001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7F2CE13F" w14:textId="77777777" w:rsidR="00EB619D" w:rsidRPr="00650308" w:rsidRDefault="00EB619D" w:rsidP="00EB61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A3AC0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ходе выполнения задания, задача участника получить две смесевые краски:</w:t>
      </w:r>
    </w:p>
    <w:p w14:paraId="243CC42C" w14:textId="77777777" w:rsidR="00EB619D" w:rsidRPr="00FC14E1" w:rsidRDefault="00EB619D" w:rsidP="00EB619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базовых цветов </w:t>
      </w:r>
      <w:r w:rsidRPr="00FC14E1">
        <w:rPr>
          <w:rFonts w:ascii="Times New Roman" w:eastAsia="Times New Roman" w:hAnsi="Times New Roman"/>
          <w:bCs/>
          <w:sz w:val="28"/>
          <w:szCs w:val="28"/>
          <w:lang w:val="en-US"/>
        </w:rPr>
        <w:t>Pantone</w:t>
      </w: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 смешать Pantone 2370 С весом 135 гр.</w:t>
      </w:r>
    </w:p>
    <w:p w14:paraId="4A3E9F87" w14:textId="77777777" w:rsidR="00EB619D" w:rsidRPr="00FC14E1" w:rsidRDefault="00EB619D" w:rsidP="00EB619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цветов </w:t>
      </w:r>
      <w:r w:rsidRPr="00FC14E1">
        <w:rPr>
          <w:rFonts w:ascii="Times New Roman" w:eastAsia="Times New Roman" w:hAnsi="Times New Roman"/>
          <w:bCs/>
          <w:sz w:val="28"/>
          <w:szCs w:val="28"/>
          <w:lang w:val="en-US"/>
        </w:rPr>
        <w:t>CMYK</w:t>
      </w:r>
      <w:r w:rsidRPr="00FC14E1">
        <w:rPr>
          <w:rFonts w:ascii="Times New Roman" w:eastAsia="Times New Roman" w:hAnsi="Times New Roman"/>
          <w:bCs/>
          <w:sz w:val="28"/>
          <w:szCs w:val="28"/>
        </w:rPr>
        <w:t xml:space="preserve"> смешать Pantone 7620 СР весом 135 гр.</w:t>
      </w:r>
    </w:p>
    <w:p w14:paraId="5F7AEC30" w14:textId="77777777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выполнить растискивание на бумаге, которая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ответствует маркировке Pantone, о</w:t>
      </w: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бвести участок растискивания, который наиболее подходит по цвету к эталону в веере.</w:t>
      </w:r>
    </w:p>
    <w:p w14:paraId="09C3C7BB" w14:textId="77777777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По окончании работ участнику необходимо переложить краску в контейнер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плотно закрыть крышкой, взвесить на весах. При взвешивании необходимо учитывать вес тары.  </w:t>
      </w:r>
    </w:p>
    <w:p w14:paraId="36D1FFB1" w14:textId="77777777" w:rsidR="00EB619D" w:rsidRPr="00FA4088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Лист с растискиванием и контейнер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краской должны быть подписаны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4AE9F7" w14:textId="77777777" w:rsidR="00EB619D" w:rsidRPr="00E42CB4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>Работа без подписи оцениваться не будет.</w:t>
      </w:r>
    </w:p>
    <w:p w14:paraId="21FE7935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3A7C9CE1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9B272C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745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Печатная машина находится в нулевом состоянии. Красочный ящик чистый/пустой. Печатная форма не установлена. Офсетный цилиндр пустой.</w:t>
      </w:r>
    </w:p>
    <w:p w14:paraId="303AAF1B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CB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составить декельную композицию необходимой толщины, в соответствии с техническими характеристиками офсетной печатной машины, установить ее на офсетный цилиндр печатной машины.</w:t>
      </w:r>
    </w:p>
    <w:p w14:paraId="565C7CC5" w14:textId="77777777" w:rsidR="00EB619D" w:rsidRPr="00C176F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участнику необходимо установить в печатную машину 4-й накатной красочный валик. Установить предоставленную печатную форму. Заложить одну из смесевых красок из </w:t>
      </w:r>
      <w:r w:rsidRPr="009B47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(на выбор участника) в красочный ящик и настроить полосу контакта валика к формному цилиндру.</w:t>
      </w:r>
    </w:p>
    <w:p w14:paraId="352B62DD" w14:textId="77777777" w:rsidR="00EB619D" w:rsidRPr="00C176F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Ширина полосы контакта – 4 мм.</w:t>
      </w:r>
    </w:p>
    <w:p w14:paraId="5C7C9532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Экспертам сдается печатная форма, на которой выделена (отмечена)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лоса контакта требуемой ширины.</w:t>
      </w:r>
    </w:p>
    <w:p w14:paraId="327481FF" w14:textId="77777777" w:rsidR="00EB619D" w:rsidRPr="00C176F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3AABDD84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5DEE89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94F8F4" w14:textId="7777777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4C3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Дополнительные задачи </w:t>
      </w:r>
      <w:r w:rsidRPr="004C3EC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21F73CC" w14:textId="77777777" w:rsidR="00EB619D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Время на выполнение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модуля</w:t>
      </w:r>
      <w:r w:rsidRPr="004C3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</w:t>
      </w:r>
      <w:r w:rsidRPr="004C3E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минут</w:t>
      </w:r>
    </w:p>
    <w:p w14:paraId="0BAA13B5" w14:textId="7777777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16C2BBE2" w14:textId="77777777" w:rsidR="00EB619D" w:rsidRPr="004C3ECE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7AE8F41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печати тиража на офсетной листовой печатной машине участнику необходимо подготовить бумагу: </w:t>
      </w:r>
    </w:p>
    <w:p w14:paraId="0EBA8A1E" w14:textId="77777777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белая офсетная бумага плотностью 160 г/м2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551666F" w14:textId="77777777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 315х448 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3ED37961" w14:textId="77777777" w:rsidR="00EB619D" w:rsidRPr="007960E8" w:rsidRDefault="00EB619D" w:rsidP="00EB619D">
      <w:pPr>
        <w:pStyle w:val="aff1"/>
        <w:numPr>
          <w:ilvl w:val="0"/>
          <w:numId w:val="26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1000 листов.</w:t>
      </w:r>
    </w:p>
    <w:p w14:paraId="51E45BE6" w14:textId="77777777" w:rsidR="00EB619D" w:rsidRPr="004C3ECE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реза и выполнить разрезку бумаги.</w:t>
      </w:r>
    </w:p>
    <w:p w14:paraId="40A66258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реза подписывается номером участника и сдается группе оценивающих экспертов. Работа без подписи не оценивается.</w:t>
      </w:r>
    </w:p>
    <w:p w14:paraId="4A179100" w14:textId="77777777" w:rsidR="00EB619D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 бумагу для печати тиража листовой продукции участнику необходимо перемести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на участок офсетной печати. </w:t>
      </w:r>
    </w:p>
    <w:p w14:paraId="05228E56" w14:textId="77777777" w:rsidR="00EB619D" w:rsidRPr="00D7268B" w:rsidRDefault="00EB619D" w:rsidP="00EB61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19BB2AD9" w14:textId="77777777" w:rsidR="00EB619D" w:rsidRPr="00C97E44" w:rsidRDefault="00EB619D" w:rsidP="00EB61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6783C0" w14:textId="4E2AF0D4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26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Задание 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начертить план реза и выполнить обрезку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продукции </w:t>
      </w:r>
      <w:r w:rsidR="005E03A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Pr="00215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конечный формат. </w:t>
      </w:r>
    </w:p>
    <w:p w14:paraId="6A362A13" w14:textId="77777777" w:rsidR="00EB619D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Готовая продукция и п</w:t>
      </w:r>
      <w:r w:rsidRPr="002502C7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 реза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укладываются участником на стол рядом с резальным оборудованием. План реза </w:t>
      </w:r>
      <w:r w:rsidRPr="002502C7">
        <w:rPr>
          <w:rFonts w:ascii="Times New Roman" w:eastAsia="Times New Roman" w:hAnsi="Times New Roman" w:cs="Times New Roman"/>
          <w:bCs/>
          <w:sz w:val="28"/>
          <w:szCs w:val="28"/>
        </w:rPr>
        <w:t>подписывается номером участника.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без подписи не оценивается.</w:t>
      </w:r>
    </w:p>
    <w:p w14:paraId="3AF90620" w14:textId="77777777" w:rsidR="00EB619D" w:rsidRPr="00C176FE" w:rsidRDefault="00EB619D" w:rsidP="00EB61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FE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bookmarkEnd w:id="14"/>
    </w:p>
    <w:p w14:paraId="71FA56C1" w14:textId="77777777" w:rsidR="005E03A1" w:rsidRDefault="005E03A1" w:rsidP="005E0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эксперт чемпионата должен самостоятельно подготовить файлы для выполнения КЗ по Модулям А и Б. Эти файлы и подробное описание специфики задания направляются для согласования с МК в общем пакете документов чемпионата. </w:t>
      </w:r>
    </w:p>
    <w:p w14:paraId="2BDF2EAA" w14:textId="77777777" w:rsidR="005E03A1" w:rsidRDefault="005E03A1" w:rsidP="005E0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Внесенные изменения должны быть выполнимы в рамках утвержденного ИЛ.  </w:t>
      </w:r>
    </w:p>
    <w:p w14:paraId="2C0DEFAC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>
        <w:rPr>
          <w:rFonts w:eastAsia="Times New Roman"/>
          <w:bCs/>
          <w:sz w:val="28"/>
          <w:szCs w:val="28"/>
        </w:rPr>
        <w:t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ЭК должен указать свои ФИО и поставить подпись в графе напротив своего участника.</w:t>
      </w:r>
    </w:p>
    <w:p w14:paraId="2DB07101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14:paraId="64EBECD5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Вовремя объяснения/обсуждения КЗ экспертами или ЭК с участником, запрещается вести запись и делать пометки.</w:t>
      </w:r>
    </w:p>
    <w:p w14:paraId="49E98D6E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ЭК участников, выступающих в зачёте. Именно эти эксперты имеют право совещательного голоса и оценки работы конкурсантов. </w:t>
      </w:r>
    </w:p>
    <w:p w14:paraId="1FE39DF0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участников, выступающих вне зачёта не имеют права: </w:t>
      </w:r>
    </w:p>
    <w:p w14:paraId="7A2EC604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14:paraId="6F6F92BE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оценивать работу конкурсантов;</w:t>
      </w:r>
    </w:p>
    <w:p w14:paraId="265D76A4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14:paraId="6A9D2F8B" w14:textId="77777777" w:rsidR="005E03A1" w:rsidRDefault="005E03A1" w:rsidP="005E03A1">
      <w:pPr>
        <w:pStyle w:val="WS0"/>
        <w:numPr>
          <w:ilvl w:val="0"/>
          <w:numId w:val="28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14:paraId="2B35C9A7" w14:textId="77777777" w:rsidR="005E03A1" w:rsidRDefault="005E03A1" w:rsidP="005E03A1">
      <w:pPr>
        <w:pStyle w:val="WS0"/>
        <w:spacing w:line="276" w:lineRule="auto"/>
        <w:ind w:left="1069" w:firstLine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Исключений не предусмотрено.</w:t>
      </w:r>
    </w:p>
    <w:p w14:paraId="4985E38F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Если осуществляется видеотрансляция в интернет, то доступ ЭК участников вне зачета на площадку, во время выступления участников в зачёте, </w:t>
      </w:r>
      <w:r>
        <w:rPr>
          <w:rFonts w:eastAsia="Times New Roman"/>
          <w:bCs/>
          <w:sz w:val="28"/>
          <w:szCs w:val="28"/>
        </w:rPr>
        <w:lastRenderedPageBreak/>
        <w:t>запрещается. 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14:paraId="3077C143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14:paraId="7D3DF8C9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>
        <w:rPr>
          <w:rFonts w:eastAsia="Times New Roman"/>
          <w:b/>
          <w:bCs/>
          <w:sz w:val="28"/>
          <w:szCs w:val="28"/>
        </w:rPr>
        <w:t>невозможно</w:t>
      </w:r>
      <w:r>
        <w:rPr>
          <w:rFonts w:eastAsia="Times New Roman"/>
          <w:bCs/>
          <w:sz w:val="28"/>
          <w:szCs w:val="28"/>
        </w:rPr>
        <w:t>.</w:t>
      </w:r>
    </w:p>
    <w:p w14:paraId="4D7E21DE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данным типом оборудования должна учитываться нормами охраны труда и правилами техники безопасности.</w:t>
      </w:r>
    </w:p>
    <w:p w14:paraId="7AE61C62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14:paraId="68DBDA87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14:paraId="555B61DB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14:paraId="2DC5EF38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бейджи, шарфы и т.д. </w:t>
      </w:r>
    </w:p>
    <w:p w14:paraId="1D76F6F6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14:paraId="77ECF702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14:paraId="58CCF80B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14:paraId="4A54A2A0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14:paraId="2BEFABCB" w14:textId="77777777" w:rsidR="005E03A1" w:rsidRDefault="005E03A1" w:rsidP="005E03A1">
      <w:pPr>
        <w:pStyle w:val="WS0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14:paraId="249E5228" w14:textId="77777777" w:rsidR="005E03A1" w:rsidRDefault="005E03A1" w:rsidP="005E03A1">
      <w:pPr>
        <w:pStyle w:val="-1"/>
        <w:spacing w:before="0" w:after="240" w:line="276" w:lineRule="auto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78885660"/>
      <w:bookmarkStart w:id="16" w:name="_Toc127038996"/>
      <w:r>
        <w:rPr>
          <w:rFonts w:ascii="Times New Roman" w:hAnsi="Times New Roman"/>
          <w:caps w:val="0"/>
          <w:color w:val="auto"/>
          <w:sz w:val="28"/>
          <w:szCs w:val="28"/>
        </w:rPr>
        <w:t>2.1. Материалы, оборудование и инструменты, запрещенные на площадке</w:t>
      </w:r>
      <w:bookmarkEnd w:id="15"/>
      <w:bookmarkEnd w:id="16"/>
    </w:p>
    <w:p w14:paraId="68C27FFA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на</w:t>
      </w:r>
      <w:r>
        <w:t xml:space="preserve"> </w:t>
      </w:r>
      <w:r>
        <w:rPr>
          <w:rFonts w:eastAsia="Times New Roman"/>
          <w:bCs/>
          <w:sz w:val="28"/>
          <w:szCs w:val="28"/>
        </w:rPr>
        <w:t>площадке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14:paraId="08B4838C" w14:textId="77777777" w:rsidR="005E03A1" w:rsidRDefault="005E03A1" w:rsidP="005E03A1">
      <w:pPr>
        <w:pStyle w:val="WS0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Экспертам и участникам чемпионата запрещается проносить на площадку внешние накопители информации (карты памяти, флешки, жесткие диски и т.д.).</w:t>
      </w:r>
    </w:p>
    <w:p w14:paraId="102750A7" w14:textId="77777777" w:rsidR="005E03A1" w:rsidRDefault="005E03A1" w:rsidP="005E03A1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038997"/>
      <w:r>
        <w:rPr>
          <w:rFonts w:ascii="Times New Roman" w:hAnsi="Times New Roman"/>
          <w:caps w:val="0"/>
          <w:color w:val="auto"/>
          <w:sz w:val="28"/>
          <w:szCs w:val="28"/>
        </w:rPr>
        <w:t>2.1.1. Личный инструмент конкурсанта</w:t>
      </w:r>
      <w:bookmarkEnd w:id="17"/>
    </w:p>
    <w:p w14:paraId="4F4DD263" w14:textId="77777777" w:rsidR="005E03A1" w:rsidRDefault="005E03A1" w:rsidP="005E03A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7038998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18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</w:t>
      </w:r>
    </w:p>
    <w:p w14:paraId="538D3EE9" w14:textId="220697CD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9CFF5E4" w:rsidR="00945E13" w:rsidRDefault="009D5181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11569" w:rsidRPr="005E03A1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5E03A1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5E03A1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5E03A1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1B76B1B1" w:rsidR="00B37579" w:rsidRDefault="009D5181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45E13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5E03A1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5E03A1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49599D45" w14:textId="74411D55" w:rsidR="00FC6098" w:rsidRDefault="009D518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5E03A1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14:paraId="1CD17869" w14:textId="2AED22F0" w:rsidR="00FC6098" w:rsidRDefault="009D518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5E03A1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5E03A1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7B3FD5" w:rsidRPr="005E03A1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5E03A1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5E03A1" w:rsidRPr="005E03A1">
          <w:rPr>
            <w:rStyle w:val="ae"/>
            <w:rFonts w:ascii="Times New Roman" w:hAnsi="Times New Roman" w:cs="Times New Roman"/>
            <w:sz w:val="28"/>
            <w:szCs w:val="28"/>
          </w:rPr>
          <w:t>Полиграфические технологии</w:t>
        </w:r>
        <w:r w:rsidR="00A11569" w:rsidRPr="005E03A1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5DF261DA" w14:textId="10332F05" w:rsidR="005E03A1" w:rsidRDefault="009D5181" w:rsidP="005E03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E03A1" w:rsidRPr="005E03A1">
          <w:rPr>
            <w:rStyle w:val="ae"/>
            <w:rFonts w:ascii="Times New Roman" w:hAnsi="Times New Roman" w:cs="Times New Roman"/>
            <w:sz w:val="28"/>
            <w:szCs w:val="28"/>
          </w:rPr>
          <w:t>Приложение № 5 План застройки</w:t>
        </w:r>
      </w:hyperlink>
    </w:p>
    <w:p w14:paraId="4FD649BA" w14:textId="1CDD91FC" w:rsidR="005E03A1" w:rsidRDefault="009D5181" w:rsidP="005E03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hyperlink r:id="rId14" w:history="1">
        <w:r w:rsidR="005E03A1" w:rsidRPr="005E03A1">
          <w:rPr>
            <w:rStyle w:val="ae"/>
            <w:rFonts w:ascii="Times New Roman" w:hAnsi="Times New Roman" w:cs="Times New Roman"/>
            <w:sz w:val="28"/>
            <w:szCs w:val="28"/>
          </w:rPr>
          <w:t>Приложение № 6 Описание компетенции</w:t>
        </w:r>
      </w:hyperlink>
    </w:p>
    <w:p w14:paraId="1F6A2793" w14:textId="13848516" w:rsidR="002B3DBB" w:rsidRDefault="002B3DBB" w:rsidP="005E03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F645F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7CD9" w14:textId="77777777" w:rsidR="00C319EB" w:rsidRDefault="00C319EB" w:rsidP="00970F49">
      <w:pPr>
        <w:spacing w:after="0" w:line="240" w:lineRule="auto"/>
      </w:pPr>
      <w:r>
        <w:separator/>
      </w:r>
    </w:p>
  </w:endnote>
  <w:endnote w:type="continuationSeparator" w:id="0">
    <w:p w14:paraId="0A054CF8" w14:textId="77777777" w:rsidR="00C319EB" w:rsidRDefault="00C319E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2C91610" w:rsidR="00C319EB" w:rsidRPr="00A4187F" w:rsidRDefault="00C319EB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9D5181"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319EB" w:rsidRDefault="00C319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3749" w14:textId="77777777" w:rsidR="00C319EB" w:rsidRDefault="00C319EB" w:rsidP="00970F49">
      <w:pPr>
        <w:spacing w:after="0" w:line="240" w:lineRule="auto"/>
      </w:pPr>
      <w:r>
        <w:separator/>
      </w:r>
    </w:p>
  </w:footnote>
  <w:footnote w:type="continuationSeparator" w:id="0">
    <w:p w14:paraId="2B05FC64" w14:textId="77777777" w:rsidR="00C319EB" w:rsidRDefault="00C319E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319EB" w:rsidRDefault="00C319E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E6CD0B0" w14:textId="77777777" w:rsidR="00C319EB" w:rsidRDefault="00C319EB" w:rsidP="00EB619D">
      <w:pPr>
        <w:pStyle w:val="af4"/>
        <w:spacing w:line="240" w:lineRule="auto"/>
      </w:pPr>
      <w:r>
        <w:rPr>
          <w:rStyle w:val="af6"/>
        </w:rPr>
        <w:footnoteRef/>
      </w:r>
      <w:r>
        <w:t xml:space="preserve"> Участник приступает к выполнению </w:t>
      </w:r>
      <w:r w:rsidRPr="00C008B4">
        <w:t xml:space="preserve">Задания 2 после выполнения Задания 5. </w:t>
      </w:r>
      <w:r>
        <w:t>В красочном ящике остается ранее заложенная смесевая краска.  В случае, если регионом принято решение о невыполнении вариативного модуля КЗ, то в кипсейку закладывается одна из триадных красок, а задания могу выполняться по порядку.</w:t>
      </w:r>
    </w:p>
  </w:footnote>
  <w:footnote w:id="3">
    <w:p w14:paraId="310C4F32" w14:textId="77777777" w:rsidR="00C319EB" w:rsidRDefault="00C319E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C232AB"/>
    <w:multiLevelType w:val="hybridMultilevel"/>
    <w:tmpl w:val="143A67F0"/>
    <w:lvl w:ilvl="0" w:tplc="09DEC974"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27" w15:restartNumberingAfterBreak="0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7"/>
  </w:num>
  <w:num w:numId="24">
    <w:abstractNumId w:val="26"/>
  </w:num>
  <w:num w:numId="25">
    <w:abstractNumId w:val="24"/>
  </w:num>
  <w:num w:numId="26">
    <w:abstractNumId w:val="16"/>
  </w:num>
  <w:num w:numId="27">
    <w:abstractNumId w:val="18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110F"/>
    <w:rsid w:val="001B4B65"/>
    <w:rsid w:val="001C1282"/>
    <w:rsid w:val="001C63E7"/>
    <w:rsid w:val="001E1DF9"/>
    <w:rsid w:val="001F645F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6F67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487B"/>
    <w:rsid w:val="004B692B"/>
    <w:rsid w:val="004C3CAF"/>
    <w:rsid w:val="004C703E"/>
    <w:rsid w:val="004D096E"/>
    <w:rsid w:val="004E0040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03A1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75A"/>
    <w:rsid w:val="00666BDD"/>
    <w:rsid w:val="006776B4"/>
    <w:rsid w:val="006873B8"/>
    <w:rsid w:val="006A4EFB"/>
    <w:rsid w:val="006B0FEA"/>
    <w:rsid w:val="006C6D6D"/>
    <w:rsid w:val="006C7A3B"/>
    <w:rsid w:val="006C7CE4"/>
    <w:rsid w:val="006D3FFD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D97"/>
    <w:rsid w:val="007E73B4"/>
    <w:rsid w:val="007F21CF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4AD3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0926"/>
    <w:rsid w:val="009D5181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068E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9EB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A7734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13C5"/>
    <w:rsid w:val="00DE39D8"/>
    <w:rsid w:val="00DE5614"/>
    <w:rsid w:val="00E0407E"/>
    <w:rsid w:val="00E04FDF"/>
    <w:rsid w:val="00E15F2A"/>
    <w:rsid w:val="00E279E8"/>
    <w:rsid w:val="00E37EF6"/>
    <w:rsid w:val="00E579D6"/>
    <w:rsid w:val="00E75567"/>
    <w:rsid w:val="00E857D6"/>
    <w:rsid w:val="00EA0163"/>
    <w:rsid w:val="00EA0C3A"/>
    <w:rsid w:val="00EA30C6"/>
    <w:rsid w:val="00EB2779"/>
    <w:rsid w:val="00EB619D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66054435-BB10-46D0-AE55-210FFCF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D0926"/>
    <w:pPr>
      <w:tabs>
        <w:tab w:val="right" w:leader="dot" w:pos="9825"/>
      </w:tabs>
      <w:spacing w:after="0" w:line="276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9D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WS">
    <w:name w:val="Текст WS Знак"/>
    <w:basedOn w:val="a2"/>
    <w:link w:val="WS0"/>
    <w:locked/>
    <w:rsid w:val="005E03A1"/>
    <w:rPr>
      <w:rFonts w:ascii="Times New Roman" w:hAnsi="Times New Roman" w:cs="Times New Roman"/>
      <w:sz w:val="24"/>
      <w:szCs w:val="24"/>
    </w:rPr>
  </w:style>
  <w:style w:type="paragraph" w:customStyle="1" w:styleId="WS0">
    <w:name w:val="Текст WS"/>
    <w:basedOn w:val="a1"/>
    <w:link w:val="WS"/>
    <w:qFormat/>
    <w:rsid w:val="005E03A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5E0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0;&#1044;%20&#1055;&#1086;&#1083;&#1080;&#1075;&#1088;&#1072;&#1092;&#1080;&#1095;&#1077;&#1089;&#1082;&#1090;&#1077;%20&#1090;&#1077;&#1093;&#1085;&#1086;&#1083;&#1086;&#1075;&#1080;&#1080;\02%20%20&#1055;&#1083;&#1072;&#1085;%20&#1079;&#1072;&#1089;&#1090;&#1088;&#1086;&#1081;&#1082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5;&#1088;&#1080;&#1083;&#1086;&#1078;&#1077;&#1085;&#1080;&#1103;\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0;&#1044;%20&#1055;&#1086;&#1083;&#1080;&#1075;&#1088;&#1072;&#1092;&#1080;&#1095;&#1077;&#1089;&#1082;&#1090;&#1077;%20&#1090;&#1077;&#1093;&#1085;&#1086;&#1083;&#1086;&#1075;&#1080;&#1080;\04%20%20&#1050;&#1088;&#1080;&#1090;&#1077;&#1088;&#1080;&#1080;%20&#1086;&#1094;&#1077;&#1085;&#1082;&#1080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5;&#1088;&#1080;&#1083;&#1086;&#1078;&#1077;&#1085;&#1080;&#1103;\&#1055;&#1088;&#1080;&#1083;&#1086;&#1078;&#1077;&#1085;&#1080;&#1077;%203.%20&#1052;&#1072;&#1090;&#1088;&#1080;&#1094;&#1072;_&#1082;&#1086;&#1085;&#1082;&#1091;&#1088;&#1089;&#1085;&#1086;&#1075;&#1086;_%20&#1079;&#1072;&#1076;&#1072;&#1085;&#1080;&#1103;%20&#1055;&#1086;&#1083;&#1080;&#1075;&#1088;&#1072;&#1092;&#1080;&#1095;&#1077;&#1089;&#1082;&#1080;&#1077;%20&#1090;&#1077;&#1093;&#1085;&#1086;&#1083;&#1086;&#1075;&#1080;&#1080;(1)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5;&#1088;&#1080;&#1083;&#1086;&#1078;&#1077;&#1085;&#1080;&#1103;\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14" Type="http://schemas.openxmlformats.org/officeDocument/2006/relationships/hyperlink" Target="file:///I:\&#1048;&#1056;&#1055;&#1054;\2024\&#1064;&#1072;&#1073;&#1083;&#1086;&#1085;%20&#1076;&#1086;&#1082;&#1091;&#1084;&#1077;&#1085;&#1090;&#1086;&#1074;%20&#1089;&#1077;&#1079;&#1086;&#1085;%202024\&#1054;&#1089;&#1085;&#1086;&#1074;&#1085;&#1086;&#1081;%20&#1089;&#1086;&#1089;&#1090;&#1072;&#1074;\&#1055;&#1088;&#1080;&#1083;&#1086;&#1078;&#1077;&#1085;&#1080;&#1103;\&#1055;&#1088;&#1080;&#1083;&#1086;&#1078;&#1077;&#1085;&#1080;&#1077;%201.%20&#1054;&#1087;&#1080;&#1089;&#1072;&#1085;&#1080;&#1103;_&#1082;&#1086;&#1084;&#1087;&#1077;&#1090;&#1077;&#1085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03E9-1706-4AE7-AB9C-4051778B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4534</Words>
  <Characters>25846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2</cp:revision>
  <dcterms:created xsi:type="dcterms:W3CDTF">2024-10-31T17:26:00Z</dcterms:created>
  <dcterms:modified xsi:type="dcterms:W3CDTF">2024-10-31T17:26:00Z</dcterms:modified>
</cp:coreProperties>
</file>