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8"/>
        </w:rPr>
      </w:pPr>
      <w:r>
        <w:rPr/>
        <w:drawing>
          <wp:inline distT="0" distB="889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8"/>
        </w:rPr>
        <w:t xml:space="preserve">соревнований по компетенции </w:t>
      </w:r>
      <w:r>
        <w:rPr>
          <w:rFonts w:cs="Times New Roman"/>
          <w:b/>
          <w:sz w:val="24"/>
          <w:szCs w:val="28"/>
        </w:rPr>
        <w:t>Промышленный дизайн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8"/>
        </w:rPr>
        <w:t xml:space="preserve">регионального </w:t>
      </w:r>
      <w:r>
        <w:rPr>
          <w:rFonts w:cs="Times New Roman"/>
          <w:b/>
          <w:sz w:val="24"/>
          <w:szCs w:val="28"/>
        </w:rPr>
        <w:t xml:space="preserve">этапа Чемпионата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8"/>
        </w:rPr>
      </w:pPr>
      <w:r>
        <w:rPr>
          <w:rFonts w:cs="Times New Roman"/>
          <w:b/>
          <w:sz w:val="24"/>
          <w:szCs w:val="28"/>
        </w:rPr>
        <w:t>по профессиональному мастерству «Профессионалы»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b/>
          <w:sz w:val="24"/>
          <w:szCs w:val="28"/>
        </w:rPr>
        <w:t>Регион проведения________________</w:t>
      </w:r>
      <w:r>
        <w:rPr>
          <w:rFonts w:cs="Times New Roman"/>
          <w:sz w:val="24"/>
          <w:szCs w:val="28"/>
        </w:rPr>
        <w:br/>
      </w:r>
    </w:p>
    <w:tbl>
      <w:tblPr>
        <w:tblStyle w:val="af"/>
        <w:tblW w:w="7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4"/>
        <w:gridCol w:w="4410"/>
      </w:tblGrid>
      <w:tr>
        <w:trPr>
          <w:trHeight w:val="555" w:hRule="atLeast"/>
        </w:trPr>
        <w:tc>
          <w:tcPr>
            <w:tcW w:w="7554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>
        <w:trPr/>
        <w:tc>
          <w:tcPr>
            <w:tcW w:w="31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31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31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31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af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8618"/>
      </w:tblGrid>
      <w:tr>
        <w:trPr>
          <w:trHeight w:val="515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Д-2  / «___» ___________ 2025 г.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09:00 – 10:00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 – 10:15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10:15 – 11.15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инструктажа по охране труда. Подписание протокола.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11:15 – 12:00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экспертов с конкурсной документацией, распределение ролей главным экспертом на чемпионате: 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протоколов.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Внесение 30% изменений в конкурсное задание. Обсуждение критериев оценки. Подписание протоколов.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 – 17:00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17:00 – 18:00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в цифровой системе оценивания (ЦСО). Блокировка схемы оценки. Формирование оценочных групп. Подготовка ведомостей оценок. Подписание протоколов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Д-1  / «___» ___________ 2025 г.</w:t>
            </w:r>
          </w:p>
        </w:tc>
      </w:tr>
      <w:tr>
        <w:trPr>
          <w:trHeight w:val="278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09:00 – 10:00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>
          <w:trHeight w:val="152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инструктажа по охране труда. Подписание протокола.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11:00 – 12.00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конкурсантов с конкурсной и нормативной документацией. Подписание протокола.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13:00 – 18:00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Жеребьевка рабочих мест. Ознакомление участников с рабочими местами, тестирование оборудования. Подписание протоколов.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Д1  / «___» ___________ 2025 г.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08:00 – 08:15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08:15 – 08:45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08:45 – 09:00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Брифинг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09:00 – 12.00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Выполнение модуля А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13:00 –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Выполнение модуля А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:00 – 18:00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Выполнение модуля Б</w:t>
            </w:r>
          </w:p>
        </w:tc>
      </w:tr>
      <w:tr>
        <w:trPr>
          <w:trHeight w:val="70" w:hRule="atLeast"/>
        </w:trPr>
        <w:tc>
          <w:tcPr>
            <w:tcW w:w="18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18:00 – 22:00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Проведение оценки работ конкурсантов (модулей А, Б). Занесение оценок в ЦСО.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Д2  / «___» ___________ 2025 г.</w:t>
            </w:r>
          </w:p>
        </w:tc>
      </w:tr>
      <w:tr>
        <w:trPr>
          <w:trHeight w:val="1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08:00 – 08:15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08:15 – 08:45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08:45 – 09:00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Брифинг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09:00 – 12.00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Выполнение модуля В</w:t>
            </w:r>
          </w:p>
        </w:tc>
      </w:tr>
      <w:tr>
        <w:trPr>
          <w:trHeight w:val="143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13:00 –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Выполнение модуля 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>
        <w:trPr>
          <w:trHeight w:val="70" w:hRule="atLeast"/>
        </w:trPr>
        <w:tc>
          <w:tcPr>
            <w:tcW w:w="18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Выполнение модуля 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Г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18:00 – 22:00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Проведение оценки работ конкурсантов (модулей В, Г). Занесение оценок в ЦСО.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Д3  / «___» ___________ 2025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08:00 – 08:15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Регистрация на площадке: сверка паспортов, подписание протокола регистрации.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08:15 – 08:45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08:45 – 09:00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Брифинг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09:00 –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Выполнение модуля Д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13:00 – 20:00</w:t>
            </w:r>
          </w:p>
        </w:tc>
        <w:tc>
          <w:tcPr>
            <w:tcW w:w="8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Проведение оценки работ конкурсантов (модулей Д). Занесение оценок в ЦСО.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Блокировка оценок. Подведение итогов.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624" w:top="720" w:footer="170" w:bottom="720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CellMar>
        <w:top w:w="144" w:type="dxa"/>
        <w:left w:w="115" w:type="dxa"/>
        <w:bottom w:w="144" w:type="dxa"/>
        <w:right w:w="115" w:type="dxa"/>
      </w:tblCellMar>
      <w:tblLook w:firstRow="1" w:noVBand="1" w:lastRow="0" w:firstColumn="1" w:lastColumn="0" w:noHBand="0" w:val="04a0"/>
    </w:tblPr>
    <w:tblGrid>
      <w:gridCol w:w="6464"/>
      <w:gridCol w:w="4001"/>
    </w:tblGrid>
    <w:tr>
      <w:trPr/>
      <w:tc>
        <w:tcPr>
          <w:tcW w:w="6464" w:type="dxa"/>
          <w:tcBorders/>
          <w:shd w:color="auto" w:fill="auto" w:val="clear"/>
          <w:vAlign w:val="center"/>
        </w:tcPr>
        <w:p>
          <w:pPr>
            <w:pStyle w:val="Style26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</w:r>
        </w:p>
      </w:tc>
      <w:tc>
        <w:tcPr>
          <w:tcW w:w="4001" w:type="dxa"/>
          <w:tcBorders/>
          <w:shd w:color="auto" w:fill="auto" w:val="clear"/>
          <w:vAlign w:val="center"/>
        </w:tcPr>
        <w:p>
          <w:pPr>
            <w:pStyle w:val="Style26"/>
            <w:tabs>
              <w:tab w:val="clear" w:pos="4677"/>
              <w:tab w:val="clear" w:pos="9355"/>
            </w:tabs>
            <w:jc w:val="right"/>
            <w:rPr/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/>
            </w:rPr>
            <w:instrText> PAGE </w:instrText>
          </w:r>
          <w:r>
            <w:rPr>
              <w:caps/>
              <w:sz w:val="18"/>
              <w:szCs w:val="18"/>
              <w:rFonts w:cs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/>
            </w:rPr>
            <w:t>0</w:t>
          </w:r>
          <w:r>
            <w:rPr>
              <w:caps/>
              <w:sz w:val="18"/>
              <w:szCs w:val="18"/>
              <w:rFonts w:cs="Times New Roman"/>
            </w:rPr>
            <w:fldChar w:fldCharType="end"/>
          </w:r>
        </w:p>
      </w:tc>
    </w:tr>
  </w:tbl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8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20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30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40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50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60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70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80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90"/>
    <w:qFormat/>
    <w:rsid w:val="00de39d8"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a9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ac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link w:val="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link w:val="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link w:val="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link w:val="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link w:val="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link w:val="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link w:val="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link w:val="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9" w:customStyle="1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10" w:customStyle="1">
    <w:name w:val="Основной текст Знак"/>
    <w:basedOn w:val="DefaultParagraphFont"/>
    <w:link w:val="af1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21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23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1" w:customStyle="1">
    <w:name w:val="Текст сноски Знак"/>
    <w:basedOn w:val="DefaultParagraphFont"/>
    <w:link w:val="af4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FollowedHyperlink">
    <w:name w:val="FollowedHyperlink"/>
    <w:qFormat/>
    <w:rsid w:val="00de39d8"/>
    <w:rPr>
      <w:color w:val="800080"/>
      <w:u w:val="single"/>
    </w:rPr>
  </w:style>
  <w:style w:type="character" w:styleId="Style13" w:customStyle="1">
    <w:name w:val="цвет в таблице"/>
    <w:qFormat/>
    <w:rsid w:val="00de39d8"/>
    <w:rPr>
      <w:color w:val="2C8DE6"/>
    </w:rPr>
  </w:style>
  <w:style w:type="character" w:styleId="12" w:customStyle="1">
    <w:name w:val="!Заголовок-1 Знак"/>
    <w:link w:val="-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4" w:customStyle="1">
    <w:name w:val="!заголовок-2 Знак"/>
    <w:link w:val="-2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4" w:customStyle="1">
    <w:name w:val="!Текст Знак"/>
    <w:link w:val="afc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5" w:customStyle="1">
    <w:name w:val="выделение цвет Знак"/>
    <w:link w:val="af8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6" w:customStyle="1">
    <w:name w:val="!Синий заголовок текста Знак"/>
    <w:link w:val="afe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писок с точками Знак"/>
    <w:link w:val="a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f4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ff6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5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color w:val="000000"/>
    </w:rPr>
  </w:style>
  <w:style w:type="character" w:styleId="ListLabel35">
    <w:name w:val="ListLabel 35"/>
    <w:qFormat/>
    <w:rPr>
      <w:b w:val="false"/>
    </w:rPr>
  </w:style>
  <w:style w:type="character" w:styleId="ListLabel36">
    <w:name w:val="ListLabel 36"/>
    <w:qFormat/>
    <w:rPr>
      <w:b/>
      <w:i w:val="false"/>
      <w:sz w:val="32"/>
      <w:szCs w:val="32"/>
    </w:rPr>
  </w:style>
  <w:style w:type="character" w:styleId="ListLabel37">
    <w:name w:val="ListLabel 37"/>
    <w:qFormat/>
    <w:rPr>
      <w:rFonts w:eastAsia="Times New Roman" w:cs="Times New Roman"/>
      <w:b/>
      <w:i/>
      <w:color w:val="000000"/>
      <w:sz w:val="28"/>
      <w:szCs w:val="28"/>
    </w:rPr>
  </w:style>
  <w:style w:type="character" w:styleId="ListLabel38">
    <w:name w:val="ListLabel 38"/>
    <w:qFormat/>
    <w:rPr>
      <w:rFonts w:eastAsia="Noto Sans Symbols" w:cs="Noto Sans Symbols"/>
    </w:rPr>
  </w:style>
  <w:style w:type="character" w:styleId="ListLabel39">
    <w:name w:val="ListLabel 39"/>
    <w:qFormat/>
    <w:rPr>
      <w:b w:val="false"/>
      <w:i/>
    </w:rPr>
  </w:style>
  <w:style w:type="character" w:styleId="ListLabel40">
    <w:name w:val="ListLabel 40"/>
    <w:qFormat/>
    <w:rPr>
      <w:b w:val="false"/>
      <w:i/>
    </w:rPr>
  </w:style>
  <w:style w:type="character" w:styleId="ListLabel41">
    <w:name w:val="ListLabel 41"/>
    <w:qFormat/>
    <w:rPr>
      <w:b w:val="false"/>
      <w:i/>
    </w:rPr>
  </w:style>
  <w:style w:type="character" w:styleId="ListLabel42">
    <w:name w:val="ListLabel 42"/>
    <w:qFormat/>
    <w:rPr>
      <w:b w:val="false"/>
      <w:i/>
    </w:rPr>
  </w:style>
  <w:style w:type="character" w:styleId="ListLabel43">
    <w:name w:val="ListLabel 43"/>
    <w:qFormat/>
    <w:rPr>
      <w:b w:val="false"/>
      <w:i/>
    </w:rPr>
  </w:style>
  <w:style w:type="character" w:styleId="ListLabel44">
    <w:name w:val="ListLabel 44"/>
    <w:qFormat/>
    <w:rPr>
      <w:b w:val="false"/>
      <w:i/>
    </w:rPr>
  </w:style>
  <w:style w:type="character" w:styleId="ListLabel45">
    <w:name w:val="ListLabel 45"/>
    <w:qFormat/>
    <w:rPr>
      <w:b w:val="false"/>
      <w:i/>
    </w:rPr>
  </w:style>
  <w:style w:type="character" w:styleId="ListLabel46">
    <w:name w:val="ListLabel 46"/>
    <w:qFormat/>
    <w:rPr>
      <w:b w:val="false"/>
      <w:i/>
    </w:rPr>
  </w:style>
  <w:style w:type="character" w:styleId="ListLabel47">
    <w:name w:val="ListLabel 47"/>
    <w:qFormat/>
    <w:rPr>
      <w:b w:val="false"/>
      <w:i/>
    </w:rPr>
  </w:style>
  <w:style w:type="character" w:styleId="ListLabel48">
    <w:name w:val="ListLabel 48"/>
    <w:qFormat/>
    <w:rPr>
      <w:color w:val="000000"/>
      <w:sz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2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Header"/>
    <w:basedOn w:val="Normal"/>
    <w:link w:val="a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8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aa"/>
    <w:uiPriority w:val="1"/>
    <w:qFormat/>
    <w:rsid w:val="00b45aa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d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5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2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4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6" w:customStyle="1">
    <w:name w:val="Абзац списка1"/>
    <w:basedOn w:val="Normal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27">
    <w:name w:val="Footnote Text"/>
    <w:basedOn w:val="Normal"/>
    <w:link w:val="af5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8" w:customStyle="1">
    <w:name w:val="цветной текст"/>
    <w:basedOn w:val="Normal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9" w:customStyle="1">
    <w:name w:val="выделение цвет"/>
    <w:basedOn w:val="Normal"/>
    <w:link w:val="af9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e39d8"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6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17" w:customStyle="1">
    <w:name w:val="!Заголовок-1"/>
    <w:basedOn w:val="1"/>
    <w:link w:val="-10"/>
    <w:qFormat/>
    <w:rsid w:val="00de39d8"/>
    <w:pPr/>
    <w:rPr>
      <w:lang w:val="ru-RU"/>
    </w:rPr>
  </w:style>
  <w:style w:type="paragraph" w:styleId="27" w:customStyle="1">
    <w:name w:val="!заголовок-2"/>
    <w:basedOn w:val="2"/>
    <w:link w:val="-20"/>
    <w:qFormat/>
    <w:rsid w:val="00de39d8"/>
    <w:pPr/>
    <w:rPr>
      <w:lang w:val="ru-RU"/>
    </w:rPr>
  </w:style>
  <w:style w:type="paragraph" w:styleId="Style30" w:customStyle="1">
    <w:name w:val="!Текст"/>
    <w:basedOn w:val="Normal"/>
    <w:link w:val="afd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1" w:customStyle="1">
    <w:name w:val="!Синий заголовок текста"/>
    <w:basedOn w:val="Style29"/>
    <w:link w:val="aff"/>
    <w:qFormat/>
    <w:rsid w:val="00de39d8"/>
    <w:pPr/>
    <w:rPr/>
  </w:style>
  <w:style w:type="paragraph" w:styleId="Style32" w:customStyle="1">
    <w:name w:val="!Список с точками"/>
    <w:basedOn w:val="Normal"/>
    <w:link w:val="aff0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aff5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ff7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1"/>
    <w:uiPriority w:val="1"/>
    <w:qFormat/>
    <w:rsid w:val="00de39d8"/>
    <w:pPr>
      <w:keepNext w:val="true"/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LibreOffice/6.2.3.2$Windows_x86 LibreOffice_project/aecc05fe267cc68dde00352a451aa867b3b546ac</Application>
  <Pages>3</Pages>
  <Words>395</Words>
  <Characters>2810</Characters>
  <CharactersWithSpaces>3161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dc:description/>
  <dc:language>ru-RU</dc:language>
  <cp:lastModifiedBy/>
  <dcterms:modified xsi:type="dcterms:W3CDTF">2024-11-02T21:57:38Z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