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48"/>
        <w:tblW w:w="96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1_633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83006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0" cy="13400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</w:t>
      </w:r>
      <w:r>
        <w:rPr>
          <w:rFonts w:ascii="Times New Roman" w:hAnsi="Times New Roman" w:cs="Times New Roman"/>
          <w:sz w:val="72"/>
          <w:szCs w:val="72"/>
        </w:rPr>
        <w:t xml:space="preserve">КОМПЕТЕНЦИИ</w:t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  <w:highlight w:val="none"/>
        </w:rPr>
      </w:pPr>
      <w:r>
        <w:rPr>
          <w:rFonts w:ascii="Times New Roman" w:hAnsi="Times New Roman" w:cs="Times New Roman"/>
          <w:sz w:val="72"/>
          <w:szCs w:val="72"/>
        </w:rPr>
        <w:t xml:space="preserve">«РАЗРАБОТКА РЕШЕНИЙ С ИСПОЛЬЗОВАНИЕМ БЛОКЧЕЙН ТЕХНОЛОГИЙ»</w:t>
      </w:r>
      <w:r>
        <w:rPr>
          <w:rFonts w:ascii="Times New Roman" w:hAnsi="Times New Roman" w:cs="Times New Roman"/>
          <w:sz w:val="72"/>
          <w:szCs w:val="72"/>
          <w:highlight w:val="none"/>
        </w:rPr>
      </w:r>
    </w:p>
    <w:p>
      <w:pPr>
        <w:jc w:val="center"/>
        <w:spacing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highlight w:val="none"/>
        </w:rPr>
        <w:t xml:space="preserve">(Юниоры)</w:t>
      </w:r>
      <w:r>
        <w:rPr>
          <w:rFonts w:ascii="Times New Roman" w:hAnsi="Times New Roman" w:cs="Times New Roman"/>
          <w:sz w:val="72"/>
          <w:szCs w:val="72"/>
          <w:highlight w:val="none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lef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Разработка решений с использованием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блокчейн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технологий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умных контрактов работает в коммерческих, частных, банковских и промышленных отраслях. Существует прямая взаимосвязь между хар</w:t>
      </w:r>
      <w:r>
        <w:rPr>
          <w:rFonts w:ascii="Times New Roman" w:hAnsi="Times New Roman" w:cs="Times New Roman"/>
          <w:sz w:val="28"/>
          <w:szCs w:val="28"/>
        </w:rPr>
        <w:t xml:space="preserve">актером и качеством требований к конечному продукту и «оплатой» со стороны заказчика. Поэтому разработчику необходимо выполнять свою работу профессионально, чтобы удовлетворять требованиям заказчика и тем самым развивать свою деятельность. Умные контракты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блокчейн (в данный момент) тесно связан с финансовой сферой.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блокчейн разработана в конце 2000-х и представляет собой базу данных, в которой хранятся данные обо всех транзакци</w:t>
      </w:r>
      <w:r>
        <w:rPr>
          <w:rFonts w:ascii="Times New Roman" w:hAnsi="Times New Roman" w:cs="Times New Roman"/>
          <w:sz w:val="28"/>
          <w:szCs w:val="28"/>
        </w:rPr>
        <w:t xml:space="preserve">ях. Каждой новой транзакции, заносимой в блок, присваивается хэш, зашифрованный идентификатор, который отражается в записи о транзакции. Для верификации новой транзакции необходим консенсус – согласие большинства участников сети (51%), теоретически в виде </w:t>
      </w:r>
      <w:r>
        <w:rPr>
          <w:rFonts w:ascii="Times New Roman" w:hAnsi="Times New Roman" w:cs="Times New Roman"/>
          <w:sz w:val="28"/>
          <w:szCs w:val="28"/>
        </w:rPr>
        <w:t xml:space="preserve">блокчейна</w:t>
      </w:r>
      <w:r>
        <w:rPr>
          <w:rFonts w:ascii="Times New Roman" w:hAnsi="Times New Roman" w:cs="Times New Roman"/>
          <w:sz w:val="28"/>
          <w:szCs w:val="28"/>
        </w:rPr>
        <w:t xml:space="preserve"> можно представить любые данные, которые возможно зафиксировать.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должен уметь планировать, проектировать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распределенные децентрализованные приложения, выбирать, устанавливать и разворачивать платформу и среду для разработки, заливать (деплоить) умные контракты, проверять их, готовить отчетную документацию, выполнять техническую поддержку, уметь находить и уст</w:t>
      </w:r>
      <w:r>
        <w:rPr>
          <w:rFonts w:ascii="Times New Roman" w:hAnsi="Times New Roman" w:cs="Times New Roman"/>
          <w:sz w:val="28"/>
          <w:szCs w:val="28"/>
        </w:rPr>
        <w:t xml:space="preserve">ранять неисправности в умных контрактах. Организация работы, самоорганизация, коммуникация и межличностное общение, умение решать проблемы, гибкость и глубокие знания своего дела – вот универсальные качества профессионального разработчика умных контрактов.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того, работает разработчик один или в команде, он должен принимать на себя высокий уровень ответственности и независимости. Разработчик должен работать в соответствии с действующими стандартами и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всех правил охраны труда и техники безопасности и должен понимать, что любые ошибки могут быть необратимы, дорогостоящими и подвергать опасности окружающих.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Возрастающая мобильность людей во всем мире расширяет возможности талантливого разработчика, однако необходимо понимать и уметь работать в различных культурных средах. В ближайшем будущем использование умных контрактов будет иметь все большую актуальность.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</w:r>
    </w:p>
    <w:p>
      <w:pPr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Times New Roman" w:cs="Times New Roman"/>
          <w:b/>
          <w:caps/>
          <w:sz w:val="28"/>
          <w:szCs w:val="28"/>
        </w:rPr>
        <w:outlineLvl w:val="1"/>
      </w:pPr>
      <w:r/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0"/>
      <w:r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09.02.03 Программирование в компьютерных системах, утвержден приказом Министерства образования и науки от 28.07.2014 г., №804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09.02.05 Прикладная информатика (по отраслям)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 приказом Министерства образования и науки от 13.08.2014 г., №1001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09.02.07 Информационные системы и программирование,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 приказом Министерства образования и науки от 9.12.2016 г., №1547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ПС 06.001 Программист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утвержден приказом Министерства труда и социальной защиты РФ от 20.07.2022 №424н</w:t>
      </w:r>
      <w:r/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МР 26.4.001-2018 Информационная технология. Криптографическая защита информации. Термины и определения в области технологий цепной записи данных (блокчейн) и распределенных реестров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ГОСТ 19.201-78 Техническое задание. Требования к содержанию и оформлению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ГОСТ 19.401-78 Текст программы. Требования к содержанию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оформлению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ГОСТ 19.701-90 Схемы алгоритмов, программ, данных и систем. Условные Обозначения и правила выполнения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ind w:firstLine="709"/>
        <w:jc w:val="both"/>
        <w:keepNext/>
        <w:spacing w:after="0" w:line="276" w:lineRule="auto"/>
        <w:rPr>
          <w:rFonts w:ascii="Times New Roman" w:hAnsi="Times New Roman" w:eastAsia="Calibri" w:cs="Times New Roman"/>
          <w:i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blPrEx/>
        <w:trPr/>
        <w:tc>
          <w:tcPr>
            <w:shd w:val="clear" w:color="auto" w:fill="92d050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Формализация и алгоритмизация поставленных задач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Написание программного кода с использованием языков программирования, определения и манипулирования данными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Оформление программного кода в соответствии с установленными требованиями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bfbfbf"/>
            <w:tcW w:w="52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71" w:type="pc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Проверка и отладка программного кода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351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68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6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5"/>
    <w:uiPriority w:val="99"/>
  </w:style>
  <w:style w:type="character" w:styleId="45">
    <w:name w:val="Footer Char"/>
    <w:basedOn w:val="680"/>
    <w:link w:val="68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List Paragraph"/>
    <w:basedOn w:val="679"/>
    <w:link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84" w:customStyle="1">
    <w:name w:val="Абзац списка Знак"/>
    <w:basedOn w:val="680"/>
    <w:link w:val="683"/>
    <w:uiPriority w:val="34"/>
    <w:rPr>
      <w:rFonts w:ascii="Calibri" w:hAnsi="Calibri" w:eastAsia="Calibri" w:cs="Times New Roman"/>
    </w:rPr>
  </w:style>
  <w:style w:type="paragraph" w:styleId="685">
    <w:name w:val="Header"/>
    <w:basedOn w:val="679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0"/>
    <w:link w:val="685"/>
    <w:uiPriority w:val="99"/>
  </w:style>
  <w:style w:type="paragraph" w:styleId="687">
    <w:name w:val="Footer"/>
    <w:basedOn w:val="679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80"/>
    <w:link w:val="687"/>
    <w:uiPriority w:val="99"/>
  </w:style>
  <w:style w:type="character" w:styleId="689">
    <w:name w:val="Hyperlink"/>
    <w:basedOn w:val="680"/>
    <w:uiPriority w:val="99"/>
    <w:semiHidden/>
    <w:unhideWhenUsed/>
    <w:rPr>
      <w:color w:val="0000ff"/>
      <w:u w:val="single"/>
    </w:rPr>
  </w:style>
  <w:style w:type="paragraph" w:styleId="1_633" w:customStyle="1">
    <w:name w:val="Body Text"/>
    <w:basedOn w:val="854"/>
    <w:link w:val="86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revision>3</cp:revision>
  <dcterms:created xsi:type="dcterms:W3CDTF">2023-12-09T20:40:00Z</dcterms:created>
  <dcterms:modified xsi:type="dcterms:W3CDTF">2024-11-05T09:10:11Z</dcterms:modified>
</cp:coreProperties>
</file>