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349E137" w14:textId="57AD61A9" w:rsidR="0067352B" w:rsidRPr="0067352B" w:rsidRDefault="00E21B55" w:rsidP="00673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7352B" w:rsidRPr="0067352B">
        <w:rPr>
          <w:rFonts w:ascii="Times New Roman" w:hAnsi="Times New Roman" w:cs="Times New Roman"/>
          <w:b/>
          <w:bCs/>
          <w:sz w:val="36"/>
          <w:szCs w:val="36"/>
        </w:rPr>
        <w:t xml:space="preserve">Специалист по тестированию </w:t>
      </w:r>
    </w:p>
    <w:p w14:paraId="1E1AA2DB" w14:textId="1C28CEC8" w:rsidR="00410311" w:rsidRDefault="0067352B" w:rsidP="00673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352B">
        <w:rPr>
          <w:rFonts w:ascii="Times New Roman" w:hAnsi="Times New Roman" w:cs="Times New Roman"/>
          <w:b/>
          <w:bCs/>
          <w:sz w:val="36"/>
          <w:szCs w:val="36"/>
        </w:rPr>
        <w:t>игрового программного обеспечени</w:t>
      </w:r>
      <w:r>
        <w:rPr>
          <w:rFonts w:ascii="Times New Roman" w:hAnsi="Times New Roman" w:cs="Times New Roman"/>
          <w:b/>
          <w:bCs/>
          <w:sz w:val="36"/>
          <w:szCs w:val="36"/>
        </w:rPr>
        <w:t>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238669CE" w:rsidR="00714DFB" w:rsidRDefault="0067352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95D67B" wp14:editId="04B10063">
            <wp:extent cx="5940425" cy="79648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 14.2023.f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6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27F9079F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67352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F1694C9" w14:textId="15689881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67352B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Вадим Луковатый</cp:lastModifiedBy>
  <cp:revision>2</cp:revision>
  <dcterms:created xsi:type="dcterms:W3CDTF">2024-11-08T14:58:00Z</dcterms:created>
  <dcterms:modified xsi:type="dcterms:W3CDTF">2024-11-08T14:58:00Z</dcterms:modified>
</cp:coreProperties>
</file>