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4D4002">
        <w:tc>
          <w:tcPr>
            <w:tcW w:w="5419" w:type="dxa"/>
          </w:tcPr>
          <w:p w14:paraId="7BDACB52" w14:textId="77777777" w:rsidR="00C52235" w:rsidRDefault="00C52235" w:rsidP="004D400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3826574F" w:rsidR="00C52235" w:rsidRDefault="00C52235" w:rsidP="004D400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A32E72" w14:textId="77777777" w:rsidR="00C52235" w:rsidRDefault="00C52235" w:rsidP="00C5223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29137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1B39B571" w14:textId="77777777" w:rsidR="00C52235" w:rsidRDefault="00C52235" w:rsidP="00C5223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F2646E" w14:textId="77777777" w:rsidR="00C52235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038229" w14:textId="77777777" w:rsidR="00C52235" w:rsidRPr="00A204BB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A5538E" w14:textId="77777777" w:rsidR="00C52235" w:rsidRPr="00A204BB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69BE48CF" w:rsidR="00C52235" w:rsidRDefault="00C52235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3FC1D97" w14:textId="4058B34B" w:rsidR="00EE79B2" w:rsidRPr="00EE79B2" w:rsidRDefault="00EE79B2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EE79B2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4AA9EC81" w14:textId="02951BBA" w:rsidR="00B807A8" w:rsidRDefault="00B807A8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этапа Чемпионата по профессиональному мастерству «Профессионалы» в 2025 г</w:t>
          </w:r>
        </w:p>
        <w:p w14:paraId="572CF957" w14:textId="77777777" w:rsidR="00C52235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3665FDC" w14:textId="789FAA04" w:rsidR="00C52235" w:rsidRPr="00F51AB0" w:rsidRDefault="009F7367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39787249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8F723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3BE5E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27401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9327FB" w14:textId="3D51F28C" w:rsidR="00B807A8" w:rsidRDefault="009242D2" w:rsidP="00C52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C52235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B807A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B807A8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8851FB6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41054">
          <w:rPr>
            <w:rStyle w:val="ae"/>
            <w:noProof/>
            <w:sz w:val="24"/>
            <w:szCs w:val="24"/>
          </w:rPr>
          <w:t>алиста по компетенции «Агроботы (</w:t>
        </w:r>
        <w:r w:rsidR="00C52235">
          <w:rPr>
            <w:rStyle w:val="ae"/>
            <w:noProof/>
            <w:sz w:val="24"/>
            <w:szCs w:val="24"/>
          </w:rPr>
          <w:t>а</w:t>
        </w:r>
        <w:r w:rsidR="00241054">
          <w:rPr>
            <w:rStyle w:val="ae"/>
            <w:noProof/>
            <w:sz w:val="24"/>
            <w:szCs w:val="24"/>
          </w:rPr>
          <w:t>гророботы)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1199AF5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0F28D059" w14:textId="735173A8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2BCD9144" w14:textId="19ED1108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9</w:t>
        </w:r>
      </w:hyperlink>
    </w:p>
    <w:p w14:paraId="084ABA9E" w14:textId="651A57C1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35E5FBDE" w14:textId="71677803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52FC3D87" w14:textId="4B1AF285" w:rsidR="00A4187F" w:rsidRPr="00A4187F" w:rsidRDefault="009F7367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00223513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43CF924F" w14:textId="12A30646" w:rsidR="00A4187F" w:rsidRPr="00A4187F" w:rsidRDefault="009F73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0D2CABDB" w14:textId="15ECDB4B" w:rsidR="00A4187F" w:rsidRPr="00A4187F" w:rsidRDefault="009F7367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1F23336F" w:rsidR="00B807A8" w:rsidRDefault="00B807A8" w:rsidP="00B807A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05B0392" w14:textId="0EDE5612" w:rsidR="00FB3492" w:rsidRDefault="009651C3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0516B73A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B807A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B807A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A31D15" w:rsidR="00E857D6" w:rsidRPr="00A204BB" w:rsidRDefault="00D37DE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1C3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9651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51C3">
        <w:rPr>
          <w:rFonts w:ascii="Times New Roman" w:hAnsi="Times New Roman" w:cs="Times New Roman"/>
          <w:sz w:val="28"/>
          <w:szCs w:val="28"/>
        </w:rPr>
        <w:t>а</w:t>
      </w:r>
      <w:r w:rsidR="00E3025F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E302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4DEE6D7" w:rsidR="00E857D6" w:rsidRDefault="00D37DEA" w:rsidP="00B807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64A9514" w14:textId="77777777" w:rsidR="00B807A8" w:rsidRPr="00A204BB" w:rsidRDefault="00B807A8" w:rsidP="00B807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FB60EF8" w:rsidR="000244DA" w:rsidRPr="00D83E4E" w:rsidRDefault="00270E01" w:rsidP="00B807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E3025F">
        <w:rPr>
          <w:rFonts w:ascii="Times New Roman" w:hAnsi="Times New Roman"/>
          <w:sz w:val="24"/>
        </w:rPr>
        <w:t>АЛ</w:t>
      </w:r>
      <w:r w:rsidR="00E120C8">
        <w:rPr>
          <w:rFonts w:ascii="Times New Roman" w:hAnsi="Times New Roman"/>
          <w:sz w:val="24"/>
        </w:rPr>
        <w:t>ИСТА ПО КОМПЕТЕНЦИИ «</w:t>
      </w:r>
      <w:proofErr w:type="spellStart"/>
      <w:r w:rsidR="00E120C8">
        <w:rPr>
          <w:rFonts w:ascii="Times New Roman" w:hAnsi="Times New Roman"/>
          <w:sz w:val="24"/>
        </w:rPr>
        <w:t>Агроботы</w:t>
      </w:r>
      <w:proofErr w:type="spellEnd"/>
      <w:r w:rsidR="00E120C8">
        <w:rPr>
          <w:rFonts w:ascii="Times New Roman" w:hAnsi="Times New Roman"/>
          <w:sz w:val="24"/>
        </w:rPr>
        <w:t xml:space="preserve"> (</w:t>
      </w:r>
      <w:proofErr w:type="spellStart"/>
      <w:r w:rsidR="00E120C8">
        <w:rPr>
          <w:rFonts w:ascii="Times New Roman" w:hAnsi="Times New Roman"/>
          <w:sz w:val="24"/>
        </w:rPr>
        <w:t>а</w:t>
      </w:r>
      <w:r w:rsidR="00E3025F">
        <w:rPr>
          <w:rFonts w:ascii="Times New Roman" w:hAnsi="Times New Roman"/>
          <w:sz w:val="24"/>
        </w:rPr>
        <w:t>гророботы</w:t>
      </w:r>
      <w:proofErr w:type="spellEnd"/>
      <w:r w:rsidR="00E3025F">
        <w:rPr>
          <w:rFonts w:ascii="Times New Roman" w:hAnsi="Times New Roman"/>
          <w:sz w:val="24"/>
        </w:rPr>
        <w:t>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B807A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B807A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640E46" w:rsidRDefault="00640E46" w:rsidP="00B807A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A4C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C71A0A8" w:rsidR="003A4C62" w:rsidRPr="00B807A8" w:rsidRDefault="00E61F4A" w:rsidP="00E61F4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03A90A70" w:rsidR="003A4C62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4C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AEE3CA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Основные типы сельскохозяйственной техники, области ее применения</w:t>
            </w:r>
          </w:p>
          <w:p w14:paraId="0FF29AD3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10DDAF26" w14:textId="1EEE37E1" w:rsidR="003A4C62" w:rsidRPr="000244DA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Состав технической документации, поставляемой с сельскохозяйственной техникой, и требования к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307DA4" w14:textId="77777777" w:rsidR="00E61F4A" w:rsidRPr="00B807A8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14:paraId="2C196CFE" w14:textId="01DA14AC" w:rsidR="003A4C62" w:rsidRPr="000244DA" w:rsidRDefault="00E61F4A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Приводить составные части изделия в рабочее положение в различных режимах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79B2A6B6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6CBB959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и агрегатов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3771EB79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E3025F" w:rsidRPr="003732A7" w14:paraId="2BF79E2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6722B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F37301" w14:textId="77777777" w:rsidR="00E3025F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построения узлов и агрегатов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систем, их состав и конструктивные особенности</w:t>
            </w:r>
          </w:p>
          <w:p w14:paraId="1C236C9B" w14:textId="77777777" w:rsidR="00855933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теории машин и механизмов</w:t>
            </w:r>
          </w:p>
          <w:p w14:paraId="7E1D2FFD" w14:textId="22A921DC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33E781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7BD91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F8C145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Читать схемы, чертежи, технологическую документацию</w:t>
            </w:r>
          </w:p>
          <w:p w14:paraId="0A8BC7C2" w14:textId="77777777" w:rsid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комплектность и целостность узлов, агрегатов и модулей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0447ED2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распаковку и расконсервацию узлов, агрегатов и модулей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3F1EE06" w14:textId="1EC21967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34301B" w14:textId="77777777" w:rsidTr="00E3025F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8AF046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7EEDCDF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3025F" w:rsidRPr="003732A7" w14:paraId="46BFEBFC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FCD03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C6AA9C" w14:textId="77777777" w:rsidR="00E3025F" w:rsidRDefault="003365F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и принцип действия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071584F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и технические средства настройки и регулировки механизмов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550B5A0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настройки комплексов следящих приводов в составе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2B727BD" w14:textId="2F8AB0C4" w:rsidR="003365FD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0CCFCAB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338DE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FA97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и регулировать механизмы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в соответствии с техническими требованиями</w:t>
            </w:r>
          </w:p>
          <w:p w14:paraId="6AB62D33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выполнения работ по настройке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9F0E2F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электрические, гидравлические и пневматические приводы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на специализированных стендах</w:t>
            </w:r>
          </w:p>
          <w:p w14:paraId="59408EC6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комплексы следящих приводов в составе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CB228BC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электронные устройства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1B636BE" w14:textId="79D16FDD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1A753297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93C56A2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испытаний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F40B218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25F" w:rsidRPr="003732A7" w14:paraId="7C425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8F60F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4FD8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проведения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92E57E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использованию оборудования, инструментов и приборов при проведении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31EF973B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и принцип действия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FE7706E" w14:textId="4F898980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проведения испытаний программного обеспечения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8EBCAC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4B18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EA3400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готовность комплекса оборудования, используемого для проведения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5E2ED1ED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измерения и записывать в журнал испытаний значения параметров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систем в процессе испытаний</w:t>
            </w:r>
          </w:p>
          <w:p w14:paraId="453865E9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стандартные виды технических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в соответствии с утвержденными методиками испытаний</w:t>
            </w:r>
          </w:p>
          <w:p w14:paraId="3BDBBC25" w14:textId="1358C5D1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06C23AF4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AB1F6D1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169FFF30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25F" w:rsidRPr="003732A7" w14:paraId="6BA75C59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383D5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59976C" w14:textId="77777777" w:rsidR="00E3025F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использования спутниковых и наземных систем навигации, дистанционного зондирования и технических средств для </w:t>
            </w:r>
            <w:proofErr w:type="spellStart"/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геопозиционирования</w:t>
            </w:r>
            <w:proofErr w:type="spellEnd"/>
            <w:r w:rsidRPr="00241054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контроля развития растений</w:t>
            </w:r>
          </w:p>
          <w:p w14:paraId="1CFE081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BA7D2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30500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C9AF08" w14:textId="77777777" w:rsid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D036176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310"/>
        <w:gridCol w:w="1181"/>
        <w:gridCol w:w="992"/>
        <w:gridCol w:w="992"/>
        <w:gridCol w:w="1135"/>
        <w:gridCol w:w="994"/>
        <w:gridCol w:w="2833"/>
      </w:tblGrid>
      <w:tr w:rsidR="00631244" w:rsidRPr="00613219" w14:paraId="0A2AADAC" w14:textId="77777777" w:rsidTr="00631244">
        <w:trPr>
          <w:trHeight w:val="1538"/>
          <w:jc w:val="center"/>
        </w:trPr>
        <w:tc>
          <w:tcPr>
            <w:tcW w:w="3592" w:type="pct"/>
            <w:gridSpan w:val="7"/>
            <w:shd w:val="clear" w:color="auto" w:fill="92D050"/>
            <w:vAlign w:val="center"/>
          </w:tcPr>
          <w:p w14:paraId="6AA1BBD1" w14:textId="5ED99ED3" w:rsidR="00631244" w:rsidRPr="00613219" w:rsidRDefault="0063124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8" w:type="pct"/>
            <w:shd w:val="clear" w:color="auto" w:fill="92D050"/>
            <w:vAlign w:val="center"/>
          </w:tcPr>
          <w:p w14:paraId="2AF4BE06" w14:textId="0F166EB5" w:rsidR="00631244" w:rsidRPr="00613219" w:rsidRDefault="0063124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31244" w:rsidRPr="00613219" w14:paraId="6EDBED15" w14:textId="77777777" w:rsidTr="00631244">
        <w:trPr>
          <w:trHeight w:val="50"/>
          <w:jc w:val="center"/>
        </w:trPr>
        <w:tc>
          <w:tcPr>
            <w:tcW w:w="807" w:type="pct"/>
            <w:vMerge w:val="restart"/>
            <w:shd w:val="clear" w:color="auto" w:fill="92D050"/>
            <w:vAlign w:val="center"/>
          </w:tcPr>
          <w:p w14:paraId="22554985" w14:textId="0EDAD76E" w:rsidR="00631244" w:rsidRPr="00613219" w:rsidRDefault="0063124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631244" w:rsidRPr="00613219" w:rsidRDefault="0063124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73DA90DA" w14:textId="11265A4A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22F4030B" w14:textId="447655FE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06257C9D" w14:textId="6349D29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94" w:type="pct"/>
            <w:shd w:val="clear" w:color="auto" w:fill="00B050"/>
          </w:tcPr>
          <w:p w14:paraId="2F3510C5" w14:textId="271E055D" w:rsidR="00631244" w:rsidRPr="00613219" w:rsidRDefault="00631244" w:rsidP="00631244">
            <w:pPr>
              <w:ind w:right="172" w:hanging="176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31244">
              <w:rPr>
                <w:b/>
                <w:color w:val="FFFFFF" w:themeColor="background1"/>
              </w:rPr>
              <w:t>Д</w:t>
            </w:r>
          </w:p>
        </w:tc>
        <w:tc>
          <w:tcPr>
            <w:tcW w:w="1408" w:type="pct"/>
            <w:shd w:val="clear" w:color="auto" w:fill="00B050"/>
            <w:vAlign w:val="center"/>
          </w:tcPr>
          <w:p w14:paraId="089247DF" w14:textId="59AF2541" w:rsidR="00631244" w:rsidRPr="00613219" w:rsidRDefault="0063124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244" w:rsidRPr="00613219" w14:paraId="61D77BE1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232BE1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center"/>
          </w:tcPr>
          <w:p w14:paraId="3B3E3C84" w14:textId="133AA48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5DA46E3D" w14:textId="252C9EBD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3" w:type="pct"/>
            <w:vAlign w:val="center"/>
          </w:tcPr>
          <w:p w14:paraId="082615A5" w14:textId="55B1C4EF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38191B9B" w14:textId="73CCCCA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9BDD0" w14:textId="5B3D040C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712CE198" w14:textId="21D12D7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31244" w:rsidRPr="00613219" w14:paraId="4EB85C7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2B843BA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center"/>
          </w:tcPr>
          <w:p w14:paraId="4A25E47C" w14:textId="6A32A2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ABB4702" w14:textId="5F4A7D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D9FE905" w14:textId="3BB91567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2ABB6818" w14:textId="7BE0C05F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14:paraId="09444370" w14:textId="4ED137CB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6E5BB194" w14:textId="667D235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631244" w:rsidRPr="00613219" w14:paraId="270858FE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11C06268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center"/>
          </w:tcPr>
          <w:p w14:paraId="3BEDDFEB" w14:textId="4F8356B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FB413FD" w14:textId="5BA1E64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14:paraId="2A6F8DAE" w14:textId="326B7F6C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149B0B9A" w14:textId="448F0BF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F68D69B" w14:textId="61D95036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35C37911" w14:textId="0460C33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631244" w:rsidRPr="00613219" w14:paraId="729DCFA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4ADD9F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124CBF9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center"/>
          </w:tcPr>
          <w:p w14:paraId="7BB1AD33" w14:textId="019172C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A4E8200" w14:textId="24938DC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0DE24C5" w14:textId="62EF545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4535938D" w14:textId="4642AA9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3704E" w14:textId="7B20CA74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CA64B26" w14:textId="0F8C3FA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244" w:rsidRPr="00613219" w14:paraId="22BB9E7A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B3484F3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8DD302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center"/>
          </w:tcPr>
          <w:p w14:paraId="788DF647" w14:textId="78FF383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14:paraId="792DEA04" w14:textId="5A36CB0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71778EC4" w14:textId="79AB212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12ACE406" w14:textId="1282F54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BA51631" w14:textId="36453F55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4A57BB5C" w14:textId="0A925B9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31244" w:rsidRPr="00613219" w14:paraId="7A651F98" w14:textId="77777777" w:rsidTr="00631244">
        <w:trPr>
          <w:trHeight w:val="50"/>
          <w:jc w:val="center"/>
        </w:trPr>
        <w:tc>
          <w:tcPr>
            <w:tcW w:w="961" w:type="pct"/>
            <w:gridSpan w:val="2"/>
            <w:shd w:val="clear" w:color="auto" w:fill="00B050"/>
            <w:vAlign w:val="center"/>
          </w:tcPr>
          <w:p w14:paraId="031BF5E1" w14:textId="36D478B4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3736CA33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F54C3E5" w14:textId="2B344835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1EC0780" w14:textId="5504B9EC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46E89523" w14:textId="728963D7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F2F2F2" w:themeFill="background1" w:themeFillShade="F2"/>
          </w:tcPr>
          <w:p w14:paraId="1FE8A993" w14:textId="77777777" w:rsidR="00631244" w:rsidRDefault="00631244" w:rsidP="007274B8">
            <w:pPr>
              <w:jc w:val="center"/>
              <w:rPr>
                <w:sz w:val="22"/>
                <w:szCs w:val="22"/>
              </w:rPr>
            </w:pPr>
          </w:p>
          <w:p w14:paraId="5803C32C" w14:textId="567349F2" w:rsidR="00631244" w:rsidRPr="00613219" w:rsidRDefault="00631244" w:rsidP="007274B8">
            <w:pPr>
              <w:jc w:val="center"/>
              <w:rPr>
                <w:b/>
              </w:rPr>
            </w:pPr>
            <w:r w:rsidRPr="00631244">
              <w:rPr>
                <w:sz w:val="22"/>
                <w:szCs w:val="22"/>
              </w:rPr>
              <w:t>20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498864D" w14:textId="07516105" w:rsidR="00631244" w:rsidRPr="00613219" w:rsidRDefault="0063124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E00A89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373DF156" w:rsidR="00613219" w:rsidRDefault="00DE39D8" w:rsidP="00E61F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0"/>
        <w:gridCol w:w="3087"/>
        <w:gridCol w:w="6032"/>
      </w:tblGrid>
      <w:tr w:rsidR="008761F3" w:rsidRPr="009D04EE" w14:paraId="59DCEA44" w14:textId="77777777" w:rsidTr="00241054"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241054"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6711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61E8CB1D" w:rsidR="006711B3" w:rsidRPr="004904C5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Планирование агротехнических мероприятий на возделываемом с/х поле</w:t>
            </w:r>
          </w:p>
        </w:tc>
        <w:tc>
          <w:tcPr>
            <w:tcW w:w="3132" w:type="pct"/>
            <w:shd w:val="clear" w:color="auto" w:fill="auto"/>
          </w:tcPr>
          <w:p w14:paraId="2DA5A46A" w14:textId="7B6487BC" w:rsidR="006711B3" w:rsidRPr="006711B3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46A131B3" w14:textId="4BD6B79D" w:rsidR="006711B3" w:rsidRP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типа почв</w:t>
            </w:r>
            <w:r w:rsidR="006711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7DD1A5A" w14:textId="67BCC7B2" w:rsid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ABF">
              <w:rPr>
                <w:rFonts w:ascii="Times New Roman" w:eastAsia="Times New Roman" w:hAnsi="Times New Roman"/>
                <w:sz w:val="24"/>
                <w:szCs w:val="24"/>
              </w:rPr>
              <w:t>Описание проблемных мест обследуемой территории;</w:t>
            </w:r>
          </w:p>
          <w:p w14:paraId="3D69DE59" w14:textId="7833E162" w:rsidR="000F4F22" w:rsidRPr="00A62ABF" w:rsidRDefault="000F4F22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Зонирование и </w:t>
            </w:r>
            <w:r w:rsidR="00E00A89">
              <w:rPr>
                <w:rFonts w:ascii="Times New Roman" w:eastAsia="Times New Roman" w:hAnsi="Times New Roman"/>
                <w:sz w:val="24"/>
                <w:szCs w:val="24"/>
              </w:rPr>
              <w:t>подсчет площадей территорий,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отведенных под обработку </w:t>
            </w:r>
            <w:r w:rsidR="00E00A89">
              <w:rPr>
                <w:rFonts w:ascii="Times New Roman" w:eastAsia="Times New Roman" w:hAnsi="Times New Roman"/>
                <w:sz w:val="24"/>
                <w:szCs w:val="24"/>
              </w:rPr>
              <w:t>химическими веществами с применением,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ГИС;</w:t>
            </w:r>
          </w:p>
          <w:p w14:paraId="360B4BE2" w14:textId="6EFB636C" w:rsidR="006711B3" w:rsidRPr="006711B3" w:rsidRDefault="006711B3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0C8">
              <w:rPr>
                <w:rFonts w:ascii="Times New Roman" w:eastAsia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вание отчета о запланированных агротехнических мероприятиях по результатам обследования пробных площадей.</w:t>
            </w:r>
          </w:p>
        </w:tc>
      </w:tr>
      <w:tr w:rsidR="000F4F22" w:rsidRPr="009D04EE" w14:paraId="1A96BA02" w14:textId="77777777" w:rsidTr="00241054"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0F4F2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A051E42" w:rsidR="000F4F22" w:rsidRPr="004904C5" w:rsidRDefault="008A62B9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Моделирование п</w:t>
            </w:r>
            <w:r w:rsidR="000F4F22" w:rsidRPr="00241054">
              <w:rPr>
                <w:b/>
                <w:sz w:val="24"/>
                <w:szCs w:val="24"/>
              </w:rPr>
              <w:t>роведени</w:t>
            </w:r>
            <w:r>
              <w:rPr>
                <w:b/>
                <w:sz w:val="24"/>
                <w:szCs w:val="24"/>
              </w:rPr>
              <w:t>я</w:t>
            </w:r>
            <w:r w:rsidR="000F4F22" w:rsidRPr="00241054">
              <w:rPr>
                <w:b/>
                <w:sz w:val="24"/>
                <w:szCs w:val="24"/>
              </w:rPr>
              <w:t xml:space="preserve"> агротехнических </w:t>
            </w:r>
            <w:r w:rsidR="000F4F22" w:rsidRPr="00241054">
              <w:rPr>
                <w:b/>
                <w:sz w:val="24"/>
                <w:szCs w:val="24"/>
              </w:rPr>
              <w:lastRenderedPageBreak/>
              <w:t>мероприятий с применением наземных и воздушных роботизированных 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Настройка параметров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мехатронного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устройства;</w:t>
            </w:r>
          </w:p>
          <w:p w14:paraId="35FC4665" w14:textId="248CF7B9" w:rsidR="000F4F22" w:rsidRPr="00E120C8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наземных роботизированных систем в среде виртуального программирования и визуализации;</w:t>
            </w:r>
          </w:p>
          <w:p w14:paraId="03F2F467" w14:textId="37858DD9" w:rsidR="000F4F22" w:rsidRPr="00E00A89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воздушных роботизированных систем в среде виртуального программирования и визуализации.</w:t>
            </w:r>
          </w:p>
        </w:tc>
      </w:tr>
      <w:tr w:rsidR="00437D28" w:rsidRPr="009D04EE" w14:paraId="64F34F19" w14:textId="77777777" w:rsidTr="00241054">
        <w:tc>
          <w:tcPr>
            <w:tcW w:w="265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03" w:type="pct"/>
            <w:shd w:val="clear" w:color="auto" w:fill="92D050"/>
          </w:tcPr>
          <w:p w14:paraId="4D99A27B" w14:textId="1E5DE4A8" w:rsidR="00437D28" w:rsidRPr="004904C5" w:rsidRDefault="000F4F2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spellStart"/>
            <w:r w:rsidRPr="000F4F22">
              <w:rPr>
                <w:b/>
                <w:sz w:val="24"/>
                <w:szCs w:val="24"/>
              </w:rPr>
              <w:t>агродрона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104AE0E4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3A24619" w14:textId="35D28B7C" w:rsidR="00C172F5" w:rsidRPr="00174A01" w:rsidRDefault="000F4F22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 w:rsidR="00DF07D8"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беспилотного летательного аппарата сельскохозяйственного назначения</w:t>
            </w:r>
            <w:r w:rsidR="00C172F5"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367FA8F" w14:textId="6F39EE15" w:rsidR="00E120C8" w:rsidRPr="00174A01" w:rsidRDefault="00174A01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2821F30" w14:textId="71ECB4B3" w:rsidR="00437D28" w:rsidRPr="00E00A89" w:rsidRDefault="00DF07D8" w:rsidP="00C172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D8"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241054">
        <w:tc>
          <w:tcPr>
            <w:tcW w:w="265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spellStart"/>
            <w:r w:rsidRPr="000F4F22">
              <w:rPr>
                <w:b/>
                <w:sz w:val="24"/>
                <w:szCs w:val="24"/>
              </w:rPr>
              <w:t>агро</w:t>
            </w:r>
            <w:r>
              <w:rPr>
                <w:b/>
                <w:sz w:val="24"/>
                <w:szCs w:val="24"/>
              </w:rPr>
              <w:t>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DF07D8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7950E5" w14:textId="3285C219" w:rsidR="00437D28" w:rsidRPr="00E00A89" w:rsidRDefault="00572ECF" w:rsidP="00C172F5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Заправка резервуара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6711B3" w:rsidRPr="009D04EE" w14:paraId="491E9FD4" w14:textId="77777777" w:rsidTr="00241054">
        <w:tc>
          <w:tcPr>
            <w:tcW w:w="265" w:type="pct"/>
            <w:shd w:val="clear" w:color="auto" w:fill="00B050"/>
          </w:tcPr>
          <w:p w14:paraId="257385C6" w14:textId="28DBE244" w:rsidR="006711B3" w:rsidRPr="006711B3" w:rsidRDefault="006711B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Построение и выполнение маршрутного задания </w:t>
            </w:r>
            <w:proofErr w:type="spellStart"/>
            <w:r>
              <w:rPr>
                <w:b/>
                <w:sz w:val="24"/>
                <w:szCs w:val="24"/>
              </w:rPr>
              <w:t>агробота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6A1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маршрута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66BED1" w14:textId="77777777" w:rsid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Предпусковая подготовка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A0B3CE7" w14:textId="77777777" w:rsid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ручном режиме;</w:t>
            </w:r>
          </w:p>
          <w:p w14:paraId="2FFAF1E5" w14:textId="2CB794B1" w:rsidR="00572ECF" w:rsidRP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автономном режиме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EC924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1174C0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645A4BB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00A89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9D897C3" w14:textId="77777777" w:rsidR="00BA629C" w:rsidRDefault="003032BF" w:rsidP="00E00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5-ти 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3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7A89EC" w14:textId="3CD17093" w:rsidR="00E00A89" w:rsidRPr="00E00A89" w:rsidRDefault="00E00A89" w:rsidP="00E00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89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4BEE1B2" w14:textId="471DD816" w:rsidR="007376C8" w:rsidRDefault="00E00A89" w:rsidP="00E00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89">
        <w:rPr>
          <w:rFonts w:ascii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89">
        <w:rPr>
          <w:rFonts w:ascii="Times New Roman" w:hAnsi="Times New Roman" w:cs="Times New Roman"/>
          <w:sz w:val="28"/>
          <w:szCs w:val="28"/>
        </w:rPr>
        <w:t xml:space="preserve">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0A89">
        <w:rPr>
          <w:rFonts w:ascii="Times New Roman" w:hAnsi="Times New Roman" w:cs="Times New Roman"/>
          <w:sz w:val="28"/>
          <w:szCs w:val="28"/>
        </w:rPr>
        <w:t>. Матрица конкурсного задания).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1542DDF2" w:rsidR="0044261A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261A" w:rsidRP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агротехнических мероприятий на возделываемом с/х поле</w:t>
      </w:r>
      <w:r w:rsidR="0044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3873DEA0" w:rsidR="0044261A" w:rsidRPr="00C97E44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 35 минут</w:t>
      </w:r>
    </w:p>
    <w:p w14:paraId="133A244B" w14:textId="67B07F4A" w:rsidR="0044261A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материалы из технического задания к модулю (химический состав почвенных образцов,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 территории обследования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т.д.) составить план агротехнических мероприятий с целью улучшения условий произрастания с/х культур в формате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или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docx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36D7E1C" w14:textId="77777777" w:rsidR="0044261A" w:rsidRDefault="0044261A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почвенных образцов;</w:t>
      </w:r>
    </w:p>
    <w:p w14:paraId="1A8BB7DD" w14:textId="54E6A7A9" w:rsidR="0044261A" w:rsidRPr="00EC6283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определение типа почв по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описанию и </w:t>
      </w: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>химическому составу;</w:t>
      </w:r>
    </w:p>
    <w:p w14:paraId="7D195BE5" w14:textId="77777777" w:rsidR="0044261A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осуществление подбора химических веществ;</w:t>
      </w:r>
    </w:p>
    <w:p w14:paraId="50E74C63" w14:textId="01602712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расчёт</w:t>
      </w:r>
      <w:r w:rsidR="0044261A">
        <w:rPr>
          <w:rFonts w:ascii="Times New Roman" w:eastAsia="Times New Roman" w:hAnsi="Times New Roman"/>
          <w:bCs/>
          <w:iCs/>
          <w:sz w:val="28"/>
          <w:szCs w:val="28"/>
        </w:rPr>
        <w:t xml:space="preserve"> р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>асход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веществ для каждого объекта, подвергающегося обработке, исходя из базовых норм внесения удобрений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типа беспилотного аппарата;</w:t>
      </w:r>
    </w:p>
    <w:p w14:paraId="1911BF89" w14:textId="61F361B6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Выбор оптимального типа беспилотного аппарата (воздушного или наземного типа) под определенные задачи.</w:t>
      </w:r>
    </w:p>
    <w:p w14:paraId="546A56E4" w14:textId="58EB89AE" w:rsidR="0044261A" w:rsidRDefault="00B9654F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цифровой карты в геоинформационной системе;</w:t>
      </w:r>
    </w:p>
    <w:p w14:paraId="2CA8008F" w14:textId="16F5BB60" w:rsidR="00B9654F" w:rsidRP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>Нанесение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 цифровой карте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ортофотоплан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, карта индексов вегетации) 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 xml:space="preserve">зон обработки территории </w:t>
      </w:r>
      <w:proofErr w:type="spellStart"/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364A9E4" w14:textId="6C2203C6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нанесение на цифровой карте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ортофотоплан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, карта индексов вегетации)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зон обработки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агродроном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3254E23" w14:textId="6FF7C215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формирование карты-схемы объектов обработки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62F3F20B" w14:textId="779EDED4" w:rsidR="00FD6099" w:rsidRDefault="00FD6099" w:rsidP="00FD609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Формирование отчета о проведенных работах;</w:t>
      </w:r>
    </w:p>
    <w:p w14:paraId="7464B5AE" w14:textId="1E294FC8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099">
        <w:rPr>
          <w:rFonts w:ascii="Times New Roman" w:eastAsia="Times New Roman" w:hAnsi="Times New Roman"/>
          <w:bCs/>
          <w:iCs/>
          <w:sz w:val="28"/>
          <w:szCs w:val="28"/>
        </w:rPr>
        <w:t>соблюдение структуры и корректности составления отчета;</w:t>
      </w:r>
    </w:p>
    <w:p w14:paraId="718BE050" w14:textId="61D60503" w:rsid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представление информации о типе почв и её характеристиках, видах химических веществ и схемах их внесения;</w:t>
      </w:r>
    </w:p>
    <w:p w14:paraId="12F02793" w14:textId="20BC0A7D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предоставление картографической информации и результата её анализа.</w:t>
      </w:r>
    </w:p>
    <w:p w14:paraId="0DA50DB1" w14:textId="0E945C5F" w:rsidR="00730AE0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149590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="0098714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Default="00730AE0" w:rsidP="009914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техническое задание к модулю и план агротехнических мероприятий, выполнить работы по улучшению условий произрастания с/х культур (внесение </w:t>
      </w:r>
      <w:r w:rsidR="0099149C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химических веществ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) с применением имеющегося оборудования в установленный временной промежуток.</w:t>
      </w:r>
    </w:p>
    <w:p w14:paraId="1B6E4303" w14:textId="7B669421" w:rsidR="0099149C" w:rsidRPr="007A0E6C" w:rsidRDefault="0099149C" w:rsidP="0099149C">
      <w:pPr>
        <w:pStyle w:val="aff1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Настройка параметров </w:t>
      </w:r>
      <w:proofErr w:type="spellStart"/>
      <w:r w:rsidRPr="007A0E6C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робототехнического устройства в среде виртуального программирования;</w:t>
      </w:r>
    </w:p>
    <w:p w14:paraId="700D8CC6" w14:textId="77777777" w:rsidR="0099149C" w:rsidRPr="007A0E6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определить и задать параметры движения </w:t>
      </w:r>
      <w:proofErr w:type="spellStart"/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мехатронного</w:t>
      </w:r>
      <w:proofErr w:type="spellEnd"/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устройства в среде виртуальной реальности;</w:t>
      </w:r>
    </w:p>
    <w:p w14:paraId="52DE7B18" w14:textId="4694F15B" w:rsidR="0099149C" w:rsidRDefault="003032BF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1.2 маршрут</w:t>
      </w:r>
      <w:r w:rsidR="0099149C"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2.1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B4E5AE0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2.2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задание в отведенной зоне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8010E88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2.3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полнила остановку во всех зонах, которые необходимо подвергнуть обработке;</w:t>
      </w:r>
    </w:p>
    <w:p w14:paraId="7B9731FF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2.4 н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преодолела все препятствия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266057C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2.5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ехатронное</w:t>
      </w:r>
      <w:proofErr w:type="spellEnd"/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устройство объехало все инженерные сооружения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EED5E02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2.6 с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корость движения наземной роботизированной системы при внесении удобрений выставлена в 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базовыми показателями.</w:t>
      </w:r>
    </w:p>
    <w:p w14:paraId="033C453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3.1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должна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2EE2E71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3.2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 выполнила увеличение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или снижение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высоты 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пределах обрабатываемых площадей;</w:t>
      </w:r>
    </w:p>
    <w:p w14:paraId="10084992" w14:textId="41AABC5C" w:rsidR="00986AA3" w:rsidRP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986AA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E2711C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эксплуатация </w:t>
      </w:r>
      <w:proofErr w:type="spellStart"/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агродрона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E61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70A07D71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99149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45 минут</w:t>
      </w:r>
      <w:r w:rsidR="00CB1C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0C6C513" w14:textId="73087B92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 осуществить сборку беспилотного воздушного судна, настройку параметров полета, заправку резервуара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Осуществить предполётную подготовку и</w:t>
      </w:r>
      <w:r w:rsidR="00575C06"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результатам её выполнения привести </w:t>
      </w:r>
      <w:proofErr w:type="spellStart"/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агродрон</w:t>
      </w:r>
      <w:proofErr w:type="spellEnd"/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транспортировочное состояние.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CEDE6EF" w14:textId="603244BC" w:rsidR="00986AA3" w:rsidRPr="001B3127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 xml:space="preserve">Сборка </w:t>
      </w:r>
      <w:proofErr w:type="spellStart"/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986AA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8E8E999" w14:textId="0143159C" w:rsidR="00512D7D" w:rsidRPr="001B3127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>установка лучей, приведение в рабочее состояние струйных распылителей на лучах</w:t>
      </w:r>
      <w:r w:rsidR="00512D7D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3625E7F" w14:textId="6D57585A" w:rsidR="00512D7D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установка и подключение резервуара, с его последующей заправкой</w:t>
      </w:r>
      <w:r w:rsidR="00512D7D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1A78F87" w14:textId="762F776A" w:rsidR="00512D7D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проверка состояния заряда аккумулятора и его установка в борт</w:t>
      </w:r>
      <w:r w:rsidR="00512D7D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3B5CCFC" w14:textId="6CDA23D8" w:rsidR="00EC6283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 строгое соблюдение правил охраны труда и техники безопасности</w:t>
      </w:r>
      <w:r w:rsidR="00EC6283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FF3F277" w14:textId="6AB98877" w:rsidR="00EC6283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Настройка параметров и построение маршрута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EC6283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763D4AC" w14:textId="4F304E9D" w:rsidR="00EC6283" w:rsidRPr="001B3127" w:rsidRDefault="00174CA3" w:rsidP="001B3127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маршрута полета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</w:t>
      </w:r>
      <w:r w:rsidR="00EC628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B7A5897" w14:textId="451CD618" w:rsidR="007A0E6C" w:rsidRPr="00174C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полета беспилотного воздушного судна (высота, скорость полета и т. д.)</w:t>
      </w:r>
      <w:r w:rsidR="001F3D41" w:rsidRPr="00174CA3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0840BF" w14:textId="02D5AB57" w:rsidR="00986A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52D8EA8B" w14:textId="711B0851" w:rsidR="00174C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/>
          <w:bCs/>
          <w:iCs/>
          <w:sz w:val="28"/>
          <w:szCs w:val="28"/>
        </w:rPr>
        <w:t xml:space="preserve">Прохождение предполетной подготовки </w:t>
      </w:r>
      <w:proofErr w:type="spellStart"/>
      <w:r w:rsidR="00220782"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220782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C4AAB4B" w14:textId="2000B7B9" w:rsidR="007A0E6C" w:rsidRDefault="00220782" w:rsidP="00174CA3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Разборка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7A0E6C" w:rsidRPr="007A0E6C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2B188445" w14:textId="70D51491" w:rsidR="00220782" w:rsidRPr="00220782" w:rsidRDefault="00220782" w:rsidP="00220782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3.1 Приведение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транспортировочное положение в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техническим заданием и инструкцией завода изготовителя.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43F41AB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1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эксплуатация </w:t>
      </w:r>
      <w:proofErr w:type="spellStart"/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E61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4327FE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1653FC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</w:t>
      </w:r>
      <w:proofErr w:type="spellStart"/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932C4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080E27" w:rsidRDefault="00080E27" w:rsidP="00080E2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Сборка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агроробота</w:t>
      </w:r>
      <w:proofErr w:type="spellEnd"/>
      <w:r w:rsidR="008341E3" w:rsidRPr="00080E2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0E27">
        <w:rPr>
          <w:rFonts w:ascii="Times New Roman" w:eastAsia="Times New Roman" w:hAnsi="Times New Roman"/>
          <w:bCs/>
          <w:iCs/>
          <w:sz w:val="28"/>
          <w:szCs w:val="28"/>
        </w:rPr>
        <w:t>установить струйные распылители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7A0E6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D1978" w14:textId="2777F45F" w:rsidR="008341E3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r w:rsidR="00B446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="00B44689" w:rsidRPr="00B44689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антенны в соответствии с инструкцией завода-изготовителя;</w:t>
      </w:r>
    </w:p>
    <w:p w14:paraId="27C1C3B1" w14:textId="4A57AFC2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1.3 осуществить заправку резервуара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84912F6" w14:textId="3B8AA75F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1.4 осуществить проверку заряда и установку аккумуляторной батареи 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C89ED90" w14:textId="20B53EA5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1.5 строгое соблюдение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43D10FA4" w14:textId="669E94D3" w:rsidR="0098714C" w:rsidRDefault="007A0E6C" w:rsidP="00E61F4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 xml:space="preserve">Разборка </w:t>
      </w:r>
      <w:proofErr w:type="spellStart"/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="0098714C">
        <w:rPr>
          <w:rFonts w:ascii="Times New Roman" w:eastAsia="Times New Roman" w:hAnsi="Times New Roman"/>
          <w:bCs/>
          <w:iCs/>
          <w:sz w:val="28"/>
          <w:szCs w:val="28"/>
        </w:rPr>
        <w:t xml:space="preserve"> в транспортировочное положение в соответствии с техническим заданием.</w:t>
      </w:r>
    </w:p>
    <w:p w14:paraId="27926BCA" w14:textId="77777777" w:rsidR="00E61F4A" w:rsidRDefault="00E61F4A" w:rsidP="00E61F4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7A07D173" w14:textId="5AFC0E8B" w:rsidR="0098714C" w:rsidRPr="00C97E44" w:rsidRDefault="0098714C" w:rsidP="009871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Построение и выполнение маршрутного задания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E61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FB1D4B" w14:textId="1FFDAB8B" w:rsidR="0098714C" w:rsidRPr="00C97E44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40</w:t>
      </w: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749F8B1A" w14:textId="1D3846A8" w:rsidR="0098714C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результатам выполнения подготовки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выполнить полевое задание в соответствии с техническим заданием </w:t>
      </w:r>
    </w:p>
    <w:p w14:paraId="3982F058" w14:textId="3BDC0D32" w:rsidR="0098714C" w:rsidRPr="007B103B" w:rsidRDefault="0098714C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Настройка параметров и построение маршрута </w:t>
      </w:r>
      <w:proofErr w:type="spellStart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агр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движения </w:t>
      </w:r>
      <w:proofErr w:type="spellStart"/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бота</w:t>
      </w:r>
      <w:proofErr w:type="spellEnd"/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3F768DDC" w14:textId="47F495AB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Default="007B103B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; </w:t>
      </w:r>
    </w:p>
    <w:p w14:paraId="50923281" w14:textId="4699AA85" w:rsidR="007B103B" w:rsidRP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Ручное управление </w:t>
      </w:r>
      <w:proofErr w:type="spellStart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до места выполнения полевого задания;</w:t>
      </w:r>
    </w:p>
    <w:p w14:paraId="0CEF1C69" w14:textId="0CDE566D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автономном режиме</w:t>
      </w:r>
      <w:r w:rsidR="00F22FB3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соответствии с техническим заданием;</w:t>
      </w:r>
    </w:p>
    <w:p w14:paraId="0A5841F7" w14:textId="4F054E65" w:rsidR="007B103B" w:rsidRPr="007B103B" w:rsidRDefault="00F22FB3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от места выполнения полевого задания до места стоянки. </w:t>
      </w:r>
    </w:p>
    <w:p w14:paraId="52C03186" w14:textId="77777777" w:rsidR="007A0E6C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B359F63" w14:textId="77777777" w:rsidR="009970C0" w:rsidRDefault="00E61F4A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78885659"/>
      <w:bookmarkStart w:id="15" w:name="_Toc142037192"/>
      <w:r>
        <w:rPr>
          <w:rFonts w:ascii="Times New Roman" w:hAnsi="Times New Roman"/>
          <w:sz w:val="28"/>
          <w:szCs w:val="28"/>
        </w:rPr>
        <w:t>В компетенции представлены вариативные модули с современным и не распространенным технологическим оборудованием. В случае отсутствия предполагаемого оборудования для выполнения вариативных модулей,</w:t>
      </w:r>
      <w:r w:rsidR="009970C0">
        <w:rPr>
          <w:rFonts w:ascii="Times New Roman" w:hAnsi="Times New Roman"/>
          <w:sz w:val="28"/>
          <w:szCs w:val="28"/>
        </w:rPr>
        <w:t xml:space="preserve"> по согласованию с менеджером компетенции,</w:t>
      </w:r>
      <w:r>
        <w:rPr>
          <w:rFonts w:ascii="Times New Roman" w:hAnsi="Times New Roman"/>
          <w:sz w:val="28"/>
          <w:szCs w:val="28"/>
        </w:rPr>
        <w:t xml:space="preserve"> допускается его замена на иное со схожим функционалом или </w:t>
      </w:r>
      <w:r w:rsidR="009970C0">
        <w:rPr>
          <w:rFonts w:ascii="Times New Roman" w:hAnsi="Times New Roman"/>
          <w:sz w:val="28"/>
          <w:szCs w:val="28"/>
        </w:rPr>
        <w:t xml:space="preserve">проведение модулей с применением программного обеспечения разработки виртуальной реальности </w:t>
      </w:r>
      <w:proofErr w:type="spellStart"/>
      <w:r w:rsidR="009970C0">
        <w:rPr>
          <w:rFonts w:ascii="Times New Roman" w:hAnsi="Times New Roman"/>
          <w:sz w:val="28"/>
          <w:szCs w:val="28"/>
          <w:lang w:val="en-US"/>
        </w:rPr>
        <w:t>Varwin</w:t>
      </w:r>
      <w:proofErr w:type="spellEnd"/>
      <w:r w:rsidR="009970C0" w:rsidRPr="009970C0">
        <w:rPr>
          <w:rFonts w:ascii="Times New Roman" w:hAnsi="Times New Roman"/>
          <w:sz w:val="28"/>
          <w:szCs w:val="28"/>
        </w:rPr>
        <w:t>.</w:t>
      </w:r>
    </w:p>
    <w:p w14:paraId="0175872C" w14:textId="320C68EC" w:rsidR="00FC5F87" w:rsidRDefault="00FC5F87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по результатам внесения 30% изменений в конкурсную документацию, подписывают протокол закрепляющий их, в произвольной форме. После подписания данного протокола и до окончания проведения этапа чемпионата экспертное сообщество не имеет права вносить дополнительные изменения в конкурсную документацию.</w:t>
      </w:r>
    </w:p>
    <w:p w14:paraId="2C69176F" w14:textId="286259C6" w:rsidR="00E61F4A" w:rsidRPr="009970C0" w:rsidRDefault="009970C0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Конкурсанты, после ознакомления с техническим заданием, перед выполнением модуля расписываются дополнительно в п</w:t>
      </w:r>
      <w:r w:rsidRPr="009970C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е</w:t>
      </w:r>
      <w:r w:rsidRPr="009970C0">
        <w:rPr>
          <w:rFonts w:ascii="Times New Roman" w:hAnsi="Times New Roman"/>
          <w:sz w:val="28"/>
          <w:szCs w:val="28"/>
        </w:rPr>
        <w:t xml:space="preserve"> об ознакомлении конкурсантов с техническим заданием по модулю</w:t>
      </w:r>
      <w:r>
        <w:rPr>
          <w:rFonts w:ascii="Times New Roman" w:hAnsi="Times New Roman"/>
          <w:sz w:val="28"/>
          <w:szCs w:val="28"/>
        </w:rPr>
        <w:t xml:space="preserve">. </w:t>
      </w:r>
      <w:r w:rsidR="00FC5F87">
        <w:rPr>
          <w:rFonts w:ascii="Times New Roman" w:hAnsi="Times New Roman"/>
          <w:sz w:val="28"/>
          <w:szCs w:val="28"/>
        </w:rPr>
        <w:t>Подписанием протокола, конкурсант подтверждает, что у него отсутствуют вопросы по выполнению модуля и данные для выполнения задания предоставлены в полном объеме.</w:t>
      </w:r>
    </w:p>
    <w:p w14:paraId="4D8EA2C6" w14:textId="74076576" w:rsidR="009970C0" w:rsidRDefault="006A1C84" w:rsidP="00997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7833B76F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A0B2DA2" w:rsidR="00E15F2A" w:rsidRPr="00807336" w:rsidRDefault="00ED708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112A6605" w14:textId="73692741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4F76D72" w14:textId="5CC4FA30" w:rsidR="00807336" w:rsidRPr="00807336" w:rsidRDefault="0080733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584C5F55" w:rsidR="00FC6098" w:rsidRDefault="00945E1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79E287E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376C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120C8">
        <w:rPr>
          <w:rFonts w:ascii="Times New Roman" w:hAnsi="Times New Roman" w:cs="Times New Roman"/>
          <w:sz w:val="28"/>
          <w:szCs w:val="28"/>
        </w:rPr>
        <w:t>по компетенции «</w:t>
      </w:r>
      <w:proofErr w:type="spellStart"/>
      <w:r w:rsidR="00E120C8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E1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20C8">
        <w:rPr>
          <w:rFonts w:ascii="Times New Roman" w:hAnsi="Times New Roman" w:cs="Times New Roman"/>
          <w:sz w:val="28"/>
          <w:szCs w:val="28"/>
        </w:rPr>
        <w:t>а</w:t>
      </w:r>
      <w:r w:rsidR="00796A78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796A78">
        <w:rPr>
          <w:rFonts w:ascii="Times New Roman" w:hAnsi="Times New Roman" w:cs="Times New Roman"/>
          <w:sz w:val="28"/>
          <w:szCs w:val="28"/>
        </w:rPr>
        <w:t>)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599499B3" w14:textId="6AE9707E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Техническое задание по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4FBB110" w14:textId="108588B5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Карта-схема по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F6A2793" w14:textId="1AFB9B1C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ED5F10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AB38" w14:textId="77777777" w:rsidR="009F7367" w:rsidRDefault="009F7367" w:rsidP="00970F49">
      <w:pPr>
        <w:spacing w:after="0" w:line="240" w:lineRule="auto"/>
      </w:pPr>
      <w:r>
        <w:separator/>
      </w:r>
    </w:p>
  </w:endnote>
  <w:endnote w:type="continuationSeparator" w:id="0">
    <w:p w14:paraId="269D87A2" w14:textId="77777777" w:rsidR="009F7367" w:rsidRDefault="009F73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C315771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242D2">
          <w:rPr>
            <w:rFonts w:ascii="Times New Roman" w:hAnsi="Times New Roman" w:cs="Times New Roman"/>
            <w:noProof/>
          </w:rPr>
          <w:t>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172F5" w:rsidRDefault="00C17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AFD3" w14:textId="77777777" w:rsidR="009F7367" w:rsidRDefault="009F7367" w:rsidP="00970F49">
      <w:pPr>
        <w:spacing w:after="0" w:line="240" w:lineRule="auto"/>
      </w:pPr>
      <w:r>
        <w:separator/>
      </w:r>
    </w:p>
  </w:footnote>
  <w:footnote w:type="continuationSeparator" w:id="0">
    <w:p w14:paraId="32D1572D" w14:textId="77777777" w:rsidR="009F7367" w:rsidRDefault="009F736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F1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33AC"/>
    <w:multiLevelType w:val="hybridMultilevel"/>
    <w:tmpl w:val="90B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3"/>
  </w:num>
  <w:num w:numId="10">
    <w:abstractNumId w:val="12"/>
  </w:num>
  <w:num w:numId="11">
    <w:abstractNumId w:val="7"/>
  </w:num>
  <w:num w:numId="12">
    <w:abstractNumId w:val="20"/>
  </w:num>
  <w:num w:numId="13">
    <w:abstractNumId w:val="37"/>
  </w:num>
  <w:num w:numId="14">
    <w:abstractNumId w:val="21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24"/>
  </w:num>
  <w:num w:numId="20">
    <w:abstractNumId w:val="31"/>
  </w:num>
  <w:num w:numId="21">
    <w:abstractNumId w:val="22"/>
  </w:num>
  <w:num w:numId="22">
    <w:abstractNumId w:val="8"/>
  </w:num>
  <w:num w:numId="23">
    <w:abstractNumId w:val="9"/>
  </w:num>
  <w:num w:numId="24">
    <w:abstractNumId w:val="3"/>
  </w:num>
  <w:num w:numId="25">
    <w:abstractNumId w:val="27"/>
  </w:num>
  <w:num w:numId="26">
    <w:abstractNumId w:val="17"/>
  </w:num>
  <w:num w:numId="27">
    <w:abstractNumId w:val="26"/>
  </w:num>
  <w:num w:numId="28">
    <w:abstractNumId w:val="23"/>
  </w:num>
  <w:num w:numId="29">
    <w:abstractNumId w:val="29"/>
  </w:num>
  <w:num w:numId="30">
    <w:abstractNumId w:val="0"/>
  </w:num>
  <w:num w:numId="31">
    <w:abstractNumId w:val="19"/>
  </w:num>
  <w:num w:numId="32">
    <w:abstractNumId w:val="18"/>
  </w:num>
  <w:num w:numId="33">
    <w:abstractNumId w:val="13"/>
  </w:num>
  <w:num w:numId="34">
    <w:abstractNumId w:val="5"/>
  </w:num>
  <w:num w:numId="35">
    <w:abstractNumId w:val="35"/>
  </w:num>
  <w:num w:numId="36">
    <w:abstractNumId w:val="2"/>
  </w:num>
  <w:num w:numId="37">
    <w:abstractNumId w:val="39"/>
  </w:num>
  <w:num w:numId="38">
    <w:abstractNumId w:val="16"/>
  </w:num>
  <w:num w:numId="39">
    <w:abstractNumId w:val="30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4DB6"/>
    <w:rsid w:val="00054C98"/>
    <w:rsid w:val="00056CDE"/>
    <w:rsid w:val="00067386"/>
    <w:rsid w:val="000732FF"/>
    <w:rsid w:val="00080E27"/>
    <w:rsid w:val="00081D65"/>
    <w:rsid w:val="000948BD"/>
    <w:rsid w:val="000974E3"/>
    <w:rsid w:val="000A1F96"/>
    <w:rsid w:val="000B16B9"/>
    <w:rsid w:val="000B3397"/>
    <w:rsid w:val="000B55A2"/>
    <w:rsid w:val="000C2FBF"/>
    <w:rsid w:val="000C6497"/>
    <w:rsid w:val="000D258B"/>
    <w:rsid w:val="000D43CC"/>
    <w:rsid w:val="000D4C46"/>
    <w:rsid w:val="000D74AA"/>
    <w:rsid w:val="000F0FC3"/>
    <w:rsid w:val="000F4F22"/>
    <w:rsid w:val="00100FE1"/>
    <w:rsid w:val="001024BE"/>
    <w:rsid w:val="00106738"/>
    <w:rsid w:val="00114D79"/>
    <w:rsid w:val="00127743"/>
    <w:rsid w:val="00127DFF"/>
    <w:rsid w:val="00137545"/>
    <w:rsid w:val="0015561E"/>
    <w:rsid w:val="001627D5"/>
    <w:rsid w:val="001653FC"/>
    <w:rsid w:val="00174A01"/>
    <w:rsid w:val="00174CA3"/>
    <w:rsid w:val="0017612A"/>
    <w:rsid w:val="001B3127"/>
    <w:rsid w:val="001B4B65"/>
    <w:rsid w:val="001C1282"/>
    <w:rsid w:val="001C63E7"/>
    <w:rsid w:val="001E044B"/>
    <w:rsid w:val="001E1DF9"/>
    <w:rsid w:val="001F3D41"/>
    <w:rsid w:val="00220782"/>
    <w:rsid w:val="00220E70"/>
    <w:rsid w:val="002228E8"/>
    <w:rsid w:val="00236BB9"/>
    <w:rsid w:val="00237603"/>
    <w:rsid w:val="00241054"/>
    <w:rsid w:val="00247E8C"/>
    <w:rsid w:val="00270E01"/>
    <w:rsid w:val="002776A1"/>
    <w:rsid w:val="0029547E"/>
    <w:rsid w:val="002B1426"/>
    <w:rsid w:val="002B3DBB"/>
    <w:rsid w:val="002B485F"/>
    <w:rsid w:val="002E190B"/>
    <w:rsid w:val="002F2906"/>
    <w:rsid w:val="003032BF"/>
    <w:rsid w:val="003242E1"/>
    <w:rsid w:val="00333911"/>
    <w:rsid w:val="00334165"/>
    <w:rsid w:val="003365FD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976F5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2D7D"/>
    <w:rsid w:val="00524F15"/>
    <w:rsid w:val="00535F9A"/>
    <w:rsid w:val="00554CBB"/>
    <w:rsid w:val="005560AC"/>
    <w:rsid w:val="00557CC0"/>
    <w:rsid w:val="0056194A"/>
    <w:rsid w:val="005649AB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E30DC"/>
    <w:rsid w:val="005E31D7"/>
    <w:rsid w:val="005F60AD"/>
    <w:rsid w:val="00605DD7"/>
    <w:rsid w:val="0060658F"/>
    <w:rsid w:val="00613219"/>
    <w:rsid w:val="0062789A"/>
    <w:rsid w:val="00631244"/>
    <w:rsid w:val="0063396F"/>
    <w:rsid w:val="00640E46"/>
    <w:rsid w:val="0064179C"/>
    <w:rsid w:val="00643A8A"/>
    <w:rsid w:val="0064491A"/>
    <w:rsid w:val="00645CBF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B79C5"/>
    <w:rsid w:val="006C6A0B"/>
    <w:rsid w:val="006C6D6D"/>
    <w:rsid w:val="006C7A3B"/>
    <w:rsid w:val="006C7CE4"/>
    <w:rsid w:val="006D796A"/>
    <w:rsid w:val="006F1C2B"/>
    <w:rsid w:val="006F4464"/>
    <w:rsid w:val="00714CA4"/>
    <w:rsid w:val="007250D9"/>
    <w:rsid w:val="007274B8"/>
    <w:rsid w:val="00727F97"/>
    <w:rsid w:val="00730AE0"/>
    <w:rsid w:val="007376C8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FD5"/>
    <w:rsid w:val="007D3601"/>
    <w:rsid w:val="007D6C20"/>
    <w:rsid w:val="007E73B4"/>
    <w:rsid w:val="00807336"/>
    <w:rsid w:val="00812516"/>
    <w:rsid w:val="0082403F"/>
    <w:rsid w:val="00832EBB"/>
    <w:rsid w:val="008341E3"/>
    <w:rsid w:val="00834734"/>
    <w:rsid w:val="00835BF6"/>
    <w:rsid w:val="00852088"/>
    <w:rsid w:val="00855933"/>
    <w:rsid w:val="008761F3"/>
    <w:rsid w:val="00881DD2"/>
    <w:rsid w:val="00882B54"/>
    <w:rsid w:val="008912AE"/>
    <w:rsid w:val="008A62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F8A"/>
    <w:rsid w:val="009203A8"/>
    <w:rsid w:val="009242D2"/>
    <w:rsid w:val="0092752F"/>
    <w:rsid w:val="00945E13"/>
    <w:rsid w:val="0095117F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87479"/>
    <w:rsid w:val="0099149C"/>
    <w:rsid w:val="00992D9C"/>
    <w:rsid w:val="009931F0"/>
    <w:rsid w:val="009955F8"/>
    <w:rsid w:val="009970C0"/>
    <w:rsid w:val="009A1CBC"/>
    <w:rsid w:val="009A36AD"/>
    <w:rsid w:val="009B18A2"/>
    <w:rsid w:val="009C5FA4"/>
    <w:rsid w:val="009D04EE"/>
    <w:rsid w:val="009E37D3"/>
    <w:rsid w:val="009E52E7"/>
    <w:rsid w:val="009E5BD9"/>
    <w:rsid w:val="009F57C0"/>
    <w:rsid w:val="009F72D2"/>
    <w:rsid w:val="009F7367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790B"/>
    <w:rsid w:val="00AA2B8A"/>
    <w:rsid w:val="00AD2200"/>
    <w:rsid w:val="00AD3EF3"/>
    <w:rsid w:val="00AE6AB7"/>
    <w:rsid w:val="00AE7A32"/>
    <w:rsid w:val="00AF1D66"/>
    <w:rsid w:val="00B162B5"/>
    <w:rsid w:val="00B236AD"/>
    <w:rsid w:val="00B30A26"/>
    <w:rsid w:val="00B32ECF"/>
    <w:rsid w:val="00B330F5"/>
    <w:rsid w:val="00B3384D"/>
    <w:rsid w:val="00B37579"/>
    <w:rsid w:val="00B40FFB"/>
    <w:rsid w:val="00B4196F"/>
    <w:rsid w:val="00B44689"/>
    <w:rsid w:val="00B45392"/>
    <w:rsid w:val="00B45AA4"/>
    <w:rsid w:val="00B45F4D"/>
    <w:rsid w:val="00B610A2"/>
    <w:rsid w:val="00B807A8"/>
    <w:rsid w:val="00B9654F"/>
    <w:rsid w:val="00BA2CF0"/>
    <w:rsid w:val="00BA629C"/>
    <w:rsid w:val="00BC3813"/>
    <w:rsid w:val="00BC7808"/>
    <w:rsid w:val="00BE099A"/>
    <w:rsid w:val="00BE7150"/>
    <w:rsid w:val="00C06EBC"/>
    <w:rsid w:val="00C0723F"/>
    <w:rsid w:val="00C121F9"/>
    <w:rsid w:val="00C172F5"/>
    <w:rsid w:val="00C17B01"/>
    <w:rsid w:val="00C21E3A"/>
    <w:rsid w:val="00C26C83"/>
    <w:rsid w:val="00C31CA1"/>
    <w:rsid w:val="00C52235"/>
    <w:rsid w:val="00C52383"/>
    <w:rsid w:val="00C56A9B"/>
    <w:rsid w:val="00C740CF"/>
    <w:rsid w:val="00C8277D"/>
    <w:rsid w:val="00C95538"/>
    <w:rsid w:val="00C96567"/>
    <w:rsid w:val="00C97E44"/>
    <w:rsid w:val="00CA58C0"/>
    <w:rsid w:val="00CA6CCD"/>
    <w:rsid w:val="00CB1CBF"/>
    <w:rsid w:val="00CC0D93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8"/>
    <w:rsid w:val="00D82186"/>
    <w:rsid w:val="00D83E4E"/>
    <w:rsid w:val="00D87A1E"/>
    <w:rsid w:val="00D961E9"/>
    <w:rsid w:val="00DB4BBF"/>
    <w:rsid w:val="00DE39D8"/>
    <w:rsid w:val="00DE5614"/>
    <w:rsid w:val="00DF07D8"/>
    <w:rsid w:val="00E00A89"/>
    <w:rsid w:val="00E0407E"/>
    <w:rsid w:val="00E04FDF"/>
    <w:rsid w:val="00E120C8"/>
    <w:rsid w:val="00E15F2A"/>
    <w:rsid w:val="00E279E8"/>
    <w:rsid w:val="00E3025F"/>
    <w:rsid w:val="00E34698"/>
    <w:rsid w:val="00E579D6"/>
    <w:rsid w:val="00E61F4A"/>
    <w:rsid w:val="00E75567"/>
    <w:rsid w:val="00E857D6"/>
    <w:rsid w:val="00EA0163"/>
    <w:rsid w:val="00EA0C3A"/>
    <w:rsid w:val="00EA30C6"/>
    <w:rsid w:val="00EB2779"/>
    <w:rsid w:val="00EB3BB7"/>
    <w:rsid w:val="00EC6283"/>
    <w:rsid w:val="00ED18F9"/>
    <w:rsid w:val="00ED4119"/>
    <w:rsid w:val="00ED53C9"/>
    <w:rsid w:val="00ED5F10"/>
    <w:rsid w:val="00ED7086"/>
    <w:rsid w:val="00EE197A"/>
    <w:rsid w:val="00EE79B2"/>
    <w:rsid w:val="00EE7DA3"/>
    <w:rsid w:val="00F1662D"/>
    <w:rsid w:val="00F22FB3"/>
    <w:rsid w:val="00F262D9"/>
    <w:rsid w:val="00F3099C"/>
    <w:rsid w:val="00F35F4F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C415A"/>
    <w:rsid w:val="00FC5F87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94F6-CD11-4D2C-9814-B86E58A7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3244</Words>
  <Characters>18492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2024-11-08T19:42:00Z</dcterms:created>
  <dcterms:modified xsi:type="dcterms:W3CDTF">2024-11-12T09:51:00Z</dcterms:modified>
</cp:coreProperties>
</file>