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B7CF3F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971F7" w:rsidRPr="009971F7">
        <w:rPr>
          <w:rFonts w:ascii="Times New Roman" w:hAnsi="Times New Roman" w:cs="Times New Roman"/>
          <w:sz w:val="72"/>
          <w:szCs w:val="72"/>
        </w:rPr>
        <w:t>Огранка алмазов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FE3F5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971F7" w:rsidRPr="009971F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Огранка алмазов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61749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Термином «Огранка алмазов» обозначается технологический процесс изготовления ограненной вставки или технического изделия из природного или синтетического алмазного полуфабриката.</w:t>
      </w:r>
    </w:p>
    <w:p w14:paraId="7288055D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«Огранка алмазов» - уникальная компетенция по обработке самого твердого минерала в природе, требующая от участника высокого профессионального мастерства и точности. Компетенция представляет собой технологический процесс обработки природных или лабораторно выращенных алмазов и включает в себя не только огранку алмазов, но и обработку высокотехнологичных изделий медицинского, лазерного и промышленного оборудования.</w:t>
      </w:r>
    </w:p>
    <w:p w14:paraId="6742A350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644ADC">
        <w:rPr>
          <w:rFonts w:ascii="Times New Roman" w:hAnsi="Times New Roman"/>
          <w:sz w:val="28"/>
        </w:rPr>
        <w:t>Конкурсное задание компетенции представляет собой изготовление изделий из алмазных полуфабрикатов по заданным параметрам, схемам и чертежам:</w:t>
      </w:r>
    </w:p>
    <w:p w14:paraId="02802EE0" w14:textId="77777777" w:rsidR="009971F7" w:rsidRPr="00644ADC" w:rsidRDefault="009971F7" w:rsidP="009971F7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Огранку алмазов в бриллианты различных форм огранки, имеющие отполированные грани и предназначенные для использования в ювелирных изделиях, а также в незакрепленном виде;</w:t>
      </w:r>
    </w:p>
    <w:p w14:paraId="0A92EFB1" w14:textId="77777777" w:rsidR="009971F7" w:rsidRPr="00644ADC" w:rsidRDefault="009971F7" w:rsidP="009971F7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Обработку изделий технического назначения, таких как плоскопараллельные алмазные пластины, алмазные наковальни, анвилы или иная высокотехнологичная продукция.</w:t>
      </w:r>
    </w:p>
    <w:p w14:paraId="42020224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По итогам выполнения Конкурсного задания каждый участник сдаёт готовые изделия, выполненные согласно всем строгим технологическим требованиям.</w:t>
      </w:r>
    </w:p>
    <w:p w14:paraId="6218E952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Год от года объем производства ювелирных и технических изделий из алмазов увеличивается, а наша отрасль продолжает претерпевать изменения в</w:t>
      </w:r>
    </w:p>
    <w:p w14:paraId="70BBDFEE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плане появления новых модификаций и увеличения количества вариантов использования продукции обоих видов.</w:t>
      </w:r>
    </w:p>
    <w:p w14:paraId="728A91F0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 xml:space="preserve">Огранщик, как специалист по обработке алмазов ювелирного и промышленного назначения, должен иметь как определенный ряд гибких качеств, таких как точность, внимательность, способность к аналитическому мышлению и умение решать комплексные задачи, так и сугубо профессиональных: определение последовательности обработки имеющегося кристаллосырья, умение найти мягкое направление шлифования кристалла, произвести огранку с минимальными потерями сырья и сохранением максимально возможного качества изделия, способность произвести визуальный контроль качества в лупу 10-кратного увеличения для соблюдения </w:t>
      </w:r>
      <w:r w:rsidRPr="00644ADC">
        <w:rPr>
          <w:rFonts w:ascii="Times New Roman" w:hAnsi="Times New Roman"/>
          <w:sz w:val="28"/>
        </w:rPr>
        <w:lastRenderedPageBreak/>
        <w:t>заданных параметров с минимально возможными отклонениями, а также умение подобрать оптимальный режим обработки для ускорения процесса огранки данного кристалла алмаза.</w:t>
      </w:r>
    </w:p>
    <w:p w14:paraId="490D945B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Научно доказано, что твердость синтетического алмаза выше, чем у природного, примерно на 10-15%, и, как следствие, обработка таких изделий повышает требования к огранщикам (обработчикам), поскольку готовая продукция также должна иметь ряд характеристик, предполагающих огранку в направлении их наибольшей твердости, а технические требования допускают наличие самых минимальных отклонений от задания, где даже линейная погрешность может измеряться в микрометрах.</w:t>
      </w:r>
    </w:p>
    <w:p w14:paraId="29013DC1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Безусловная необходимость обновления кадрового потенциала в технической и ювелирной сферах обработки, появление новых предприятий по огранке синтетических алмазов способствует увеличению числа рабочих мест и повышению интереса к отрасли среди молодого поколения.</w:t>
      </w:r>
    </w:p>
    <w:p w14:paraId="2FAACEA9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Уверенность в стабильности данного направления подкрепляется также продолжением сотрудничества между образовательными организациями и государственными и коммерческими предприятиями Российской Федерации.</w:t>
      </w:r>
    </w:p>
    <w:p w14:paraId="46C6F00D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Внимание Президента РФ также направлено на создание условий по развитию стратегических отраслей экономики и высокотехнологичных отраслей страны.</w:t>
      </w:r>
    </w:p>
    <w:p w14:paraId="58F40793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АК «АЛРОСА» совместно с Гохран России при Министерстве финансов РФ ведут работу по вопросу восстановления и развития алмазогранильной отрасли в стране, что в данный момент является одной из приоритетных задач Государства.</w:t>
      </w:r>
    </w:p>
    <w:p w14:paraId="24D37EFA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Область применения изделий технического назначения стремительно расширяется, провоцируя увеличение спроса, и для обеспечения стабильности развития экономики в данном секторе требуется постоянный приток квалифицированных кадров, способных обеспечить предложение.</w:t>
      </w:r>
    </w:p>
    <w:p w14:paraId="60BAF7DD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Изучение именно этой профессии (компетенции) дает возможность подготовки профессиональных, владеющих высокотехнологичным оборудованием специалистов, являющихся стратегически необходимыми для России. Внимание Президента РФ направлено на создание условий по развитию стратегических отраслей экономики и высокотехнологичных отраслей страны. АК АЛРОСА совместно с Гохран России при Министерстве финансов РФ, ведут работу по вопросу восстановления и развития алмазогранильной отрасли РФ, что в данный момент является одной из приоритетных задач Государства.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E0612" w14:textId="0763EF6F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профессии 29.01.28 Огранщик алмазов в бриллианты;</w:t>
      </w:r>
    </w:p>
    <w:p w14:paraId="2BEBA939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Федеральный государственный стандарт по специальности среднего профессионального образования 29.02.08 Технология обработки алмазов (утвержден приказом Министерства образования и науки Российской Федерации от 15 мая 2014 года № 538).</w:t>
      </w:r>
    </w:p>
    <w:p w14:paraId="0AC7AA88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Профессиональный стандарт – отсутствует.</w:t>
      </w:r>
    </w:p>
    <w:p w14:paraId="28E5C713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ЕТКС Единый тарифно-квалификационный справочник работ и профессий рабочих (ЕТКС), 2019 Выпуск №18 ЕТКС Выпуск утвержден Постановлением Минтруда РФ от 26.07.2002 N 52 (в редакции Приказа Минздравсоцразвития РФ от 20.10.2008 N 580) Раздел ЕТКС «Производство синтетических алмазов, сверхтвердых материалов и изделий из них и природных алмазов». Выпуск №61 ЕТКС. Выпуск утвержден Постановлением Минтруда РФ от 05.03.2004 N 40 Раздел ЕТКС «Гранильное производство» Огранщик алмазов в бриллианты.</w:t>
      </w:r>
    </w:p>
    <w:p w14:paraId="1212E910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Отраслевые/корпоративные стандарты:</w:t>
      </w:r>
    </w:p>
    <w:p w14:paraId="7A83D763" w14:textId="71201270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44ADC">
        <w:rPr>
          <w:rFonts w:ascii="Times New Roman" w:eastAsia="Calibri" w:hAnsi="Times New Roman" w:cs="Times New Roman"/>
          <w:sz w:val="28"/>
        </w:rPr>
        <w:t>Международный отраслевой стандарт ИСО/TR 11211:1995 «Оценка бриллиантов. Терминология</w:t>
      </w:r>
      <w:r w:rsidRPr="00644AD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44ADC">
        <w:rPr>
          <w:rFonts w:ascii="Times New Roman" w:eastAsia="Calibri" w:hAnsi="Times New Roman" w:cs="Times New Roman"/>
          <w:sz w:val="28"/>
        </w:rPr>
        <w:t>и</w:t>
      </w:r>
      <w:r w:rsidRPr="00644AD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44ADC">
        <w:rPr>
          <w:rFonts w:ascii="Times New Roman" w:eastAsia="Calibri" w:hAnsi="Times New Roman" w:cs="Times New Roman"/>
          <w:sz w:val="28"/>
        </w:rPr>
        <w:t>классификация</w:t>
      </w:r>
      <w:r w:rsidRPr="00644ADC">
        <w:rPr>
          <w:rFonts w:ascii="Times New Roman" w:eastAsia="Calibri" w:hAnsi="Times New Roman" w:cs="Times New Roman"/>
          <w:sz w:val="28"/>
          <w:lang w:val="en-US"/>
        </w:rPr>
        <w:t>» (ISO/TR 11211:1995 «Grading polished diamonds — Terminology and classification», NEQ);</w:t>
      </w:r>
    </w:p>
    <w:p w14:paraId="2EEAE33B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Квалификационные характеристики (</w:t>
      </w:r>
      <w:proofErr w:type="spellStart"/>
      <w:r w:rsidRPr="00644ADC">
        <w:rPr>
          <w:rFonts w:ascii="Times New Roman" w:eastAsia="Calibri" w:hAnsi="Times New Roman" w:cs="Times New Roman"/>
          <w:sz w:val="28"/>
        </w:rPr>
        <w:t>профессиограмма</w:t>
      </w:r>
      <w:proofErr w:type="spellEnd"/>
      <w:r w:rsidRPr="00644ADC">
        <w:rPr>
          <w:rFonts w:ascii="Times New Roman" w:eastAsia="Calibri" w:hAnsi="Times New Roman" w:cs="Times New Roman"/>
          <w:sz w:val="28"/>
        </w:rPr>
        <w:t>).</w:t>
      </w:r>
    </w:p>
    <w:p w14:paraId="041C286D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ГОСТы Перечень национальных стандартов, а также технических условий на драгоценные камни, применяемых в компетенции:</w:t>
      </w:r>
    </w:p>
    <w:p w14:paraId="474796D8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25706-83 Лупы. Типы. Основные параметры;</w:t>
      </w:r>
    </w:p>
    <w:p w14:paraId="2072AD9E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24104-2001 Весы лабораторные. Общие технические требования;</w:t>
      </w:r>
    </w:p>
    <w:p w14:paraId="6A7B555F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51519.1-99 Алмазы природные необработанные. Классификация. Основные признаки;</w:t>
      </w:r>
    </w:p>
    <w:p w14:paraId="18870896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51519.2-99 Алмазы природные необработанные. Сортировка алмазов. Основные положения;</w:t>
      </w:r>
    </w:p>
    <w:p w14:paraId="0F612BA0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52913-2008 Бриллианты. Классификация. Технические требования;</w:t>
      </w:r>
    </w:p>
    <w:p w14:paraId="1DD35765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ТУ117-4.2099-2002 Бриллианты. Технические требования. Классификация;</w:t>
      </w:r>
    </w:p>
    <w:p w14:paraId="4FCC6EFE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СТО 45866412-04-2007 Пластины алмазные;</w:t>
      </w:r>
    </w:p>
    <w:p w14:paraId="70CAF40A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lastRenderedPageBreak/>
        <w:t>СТО 45866412-16-2014 Драгоценные камни. Термины и определения;</w:t>
      </w:r>
    </w:p>
    <w:p w14:paraId="350127CF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обитания", СанПин 2.2.2.\2.4.1340-03 Гигиенические требования к </w:t>
      </w:r>
      <w:proofErr w:type="spellStart"/>
      <w:r w:rsidRPr="00644ADC">
        <w:rPr>
          <w:rFonts w:ascii="Times New Roman" w:eastAsia="Calibri" w:hAnsi="Times New Roman" w:cs="Times New Roman"/>
          <w:sz w:val="28"/>
        </w:rPr>
        <w:t>видеодисплейным</w:t>
      </w:r>
      <w:proofErr w:type="spellEnd"/>
      <w:r w:rsidRPr="00644ADC">
        <w:rPr>
          <w:rFonts w:ascii="Times New Roman" w:eastAsia="Calibri" w:hAnsi="Times New Roman" w:cs="Times New Roman"/>
          <w:sz w:val="28"/>
        </w:rPr>
        <w:t xml:space="preserve"> терминалам, персональным </w:t>
      </w:r>
      <w:proofErr w:type="spellStart"/>
      <w:r w:rsidRPr="00644ADC">
        <w:rPr>
          <w:rFonts w:ascii="Times New Roman" w:eastAsia="Calibri" w:hAnsi="Times New Roman" w:cs="Times New Roman"/>
          <w:sz w:val="28"/>
        </w:rPr>
        <w:t>электронновычислительным</w:t>
      </w:r>
      <w:proofErr w:type="spellEnd"/>
      <w:r w:rsidRPr="00644ADC">
        <w:rPr>
          <w:rFonts w:ascii="Times New Roman" w:eastAsia="Calibri" w:hAnsi="Times New Roman" w:cs="Times New Roman"/>
          <w:sz w:val="28"/>
        </w:rPr>
        <w:t xml:space="preserve"> машинам и организации работы.</w:t>
      </w:r>
    </w:p>
    <w:p w14:paraId="0860F390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Нормативные правовые документы, используемые в компетенции:</w:t>
      </w:r>
    </w:p>
    <w:p w14:paraId="0A6C9A1B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Федеральный закон от 26.03.1998 № 41-ФЗ «О драгоценных металлах драгоценных камнях»;</w:t>
      </w:r>
    </w:p>
    <w:p w14:paraId="0360B988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12.3.023-80 Система стандартов безопасности труда. Процессы обработки алмазным инструментом. Требования безопасности;</w:t>
      </w:r>
    </w:p>
    <w:p w14:paraId="30BA40F7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Инструкция Минфина РФ от 04.08.1992 N 67 (ред. от 04.12.1995) "О порядке получения, расходования, учета и хранения драгоценных металлов и драгоценных камней на предприятиях, в учреждениях и организациях" (Зарегистрировано в Минюсте РФ 11.08.1992 N 35);</w:t>
      </w:r>
    </w:p>
    <w:p w14:paraId="745B2429" w14:textId="77777777" w:rsidR="009971F7" w:rsidRPr="00644ADC" w:rsidRDefault="009971F7" w:rsidP="009971F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Приказ Минфина РФ от 09.12.2016 N 231Н.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обращении". Редакция от 22.06.2020 — Действует с 10.10.2020. Зарегистрировано в Минюсте России 9 января 2017 г. N 45111.</w:t>
      </w:r>
    </w:p>
    <w:p w14:paraId="67873054" w14:textId="77777777" w:rsidR="009971F7" w:rsidRPr="00644ADC" w:rsidRDefault="009971F7" w:rsidP="009971F7">
      <w:pPr>
        <w:spacing w:after="0" w:line="276" w:lineRule="auto"/>
        <w:ind w:firstLine="709"/>
        <w:jc w:val="both"/>
        <w:rPr>
          <w:rFonts w:ascii="Times New Roman" w:hAnsi="Times New Roman"/>
          <w:sz w:val="10"/>
          <w:szCs w:val="6"/>
        </w:rPr>
      </w:pPr>
      <w:r w:rsidRPr="00644ADC">
        <w:rPr>
          <w:rFonts w:ascii="Times New Roman" w:hAnsi="Times New Roman"/>
          <w:sz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971F7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425FBC" w:rsidRDefault="009F616C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971F7" w:rsidRPr="00425FBC" w14:paraId="6CCAFF50" w14:textId="77777777" w:rsidTr="009971F7">
        <w:tc>
          <w:tcPr>
            <w:tcW w:w="529" w:type="pct"/>
            <w:shd w:val="clear" w:color="auto" w:fill="BFBFBF"/>
            <w:vAlign w:val="center"/>
          </w:tcPr>
          <w:p w14:paraId="724C0E0A" w14:textId="74773C77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1D5798AB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алмазного сырья для огранки</w:t>
            </w:r>
          </w:p>
        </w:tc>
      </w:tr>
      <w:tr w:rsidR="009971F7" w:rsidRPr="00425FBC" w14:paraId="3D7E731D" w14:textId="77777777" w:rsidTr="009971F7">
        <w:tc>
          <w:tcPr>
            <w:tcW w:w="529" w:type="pct"/>
            <w:shd w:val="clear" w:color="auto" w:fill="BFBFBF"/>
            <w:vAlign w:val="center"/>
          </w:tcPr>
          <w:p w14:paraId="42B19B65" w14:textId="48799A8F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C2B46D3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 при выборе средств для огранки</w:t>
            </w:r>
          </w:p>
        </w:tc>
      </w:tr>
      <w:tr w:rsidR="009971F7" w:rsidRPr="00425FBC" w14:paraId="6B01F5C6" w14:textId="77777777" w:rsidTr="009971F7">
        <w:tc>
          <w:tcPr>
            <w:tcW w:w="529" w:type="pct"/>
            <w:shd w:val="clear" w:color="auto" w:fill="BFBFBF"/>
            <w:vAlign w:val="center"/>
          </w:tcPr>
          <w:p w14:paraId="3712F388" w14:textId="41010773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5F87AFD3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простой и полной огранки круглого бриллианта</w:t>
            </w:r>
          </w:p>
        </w:tc>
      </w:tr>
      <w:tr w:rsidR="009971F7" w:rsidRPr="00425FBC" w14:paraId="077039F1" w14:textId="77777777" w:rsidTr="009971F7">
        <w:tc>
          <w:tcPr>
            <w:tcW w:w="529" w:type="pct"/>
            <w:shd w:val="clear" w:color="auto" w:fill="BFBFBF"/>
            <w:vAlign w:val="center"/>
          </w:tcPr>
          <w:p w14:paraId="453EAABC" w14:textId="569E46BB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110C67DA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огранки бриллианта</w:t>
            </w:r>
          </w:p>
        </w:tc>
      </w:tr>
      <w:tr w:rsidR="009971F7" w:rsidRPr="00425FBC" w14:paraId="5FCA667E" w14:textId="77777777" w:rsidTr="009971F7">
        <w:tc>
          <w:tcPr>
            <w:tcW w:w="529" w:type="pct"/>
            <w:shd w:val="clear" w:color="auto" w:fill="BFBFBF"/>
            <w:vAlign w:val="center"/>
          </w:tcPr>
          <w:p w14:paraId="4FEA4126" w14:textId="23F8C999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8D21DB4" w14:textId="1A5ABD4A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Реставрация и исправление недостатков, допущенных в процессе огранки алмазов</w:t>
            </w:r>
          </w:p>
        </w:tc>
      </w:tr>
      <w:tr w:rsidR="009971F7" w:rsidRPr="00425FBC" w14:paraId="163A0641" w14:textId="77777777" w:rsidTr="009971F7">
        <w:tc>
          <w:tcPr>
            <w:tcW w:w="529" w:type="pct"/>
            <w:shd w:val="clear" w:color="auto" w:fill="BFBFBF"/>
            <w:vAlign w:val="center"/>
          </w:tcPr>
          <w:p w14:paraId="7CD054EA" w14:textId="261C7708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5F568BB2" w14:textId="2D0F3BC2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условий для эффективной производственной деятельности</w:t>
            </w:r>
          </w:p>
        </w:tc>
      </w:tr>
      <w:tr w:rsidR="009971F7" w:rsidRPr="00425FBC" w14:paraId="42E89259" w14:textId="77777777" w:rsidTr="009971F7">
        <w:tc>
          <w:tcPr>
            <w:tcW w:w="529" w:type="pct"/>
            <w:shd w:val="clear" w:color="auto" w:fill="BFBFBF"/>
            <w:vAlign w:val="center"/>
          </w:tcPr>
          <w:p w14:paraId="280499C7" w14:textId="3C7450C0" w:rsidR="009971F7" w:rsidRPr="009971F7" w:rsidRDefault="009971F7" w:rsidP="009971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  <w:vAlign w:val="center"/>
          </w:tcPr>
          <w:p w14:paraId="538C2808" w14:textId="554AB655" w:rsidR="009971F7" w:rsidRPr="009971F7" w:rsidRDefault="009971F7" w:rsidP="009971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1F7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производственного процесса обработки алмазов и полуфабрикатов в бриллианты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3E2B" w14:textId="77777777" w:rsidR="00E054B1" w:rsidRDefault="00E054B1" w:rsidP="00A130B3">
      <w:pPr>
        <w:spacing w:after="0" w:line="240" w:lineRule="auto"/>
      </w:pPr>
      <w:r>
        <w:separator/>
      </w:r>
    </w:p>
  </w:endnote>
  <w:endnote w:type="continuationSeparator" w:id="0">
    <w:p w14:paraId="0996F75F" w14:textId="77777777" w:rsidR="00E054B1" w:rsidRDefault="00E054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Page Numbers (Bottom of Page)"/>
        <w:docPartUnique/>
      </w:docPartObj>
    </w:sdtPr>
    <w:sdtContent>
      <w:p w14:paraId="1EC51F36" w14:textId="56C1858C" w:rsidR="00A130B3" w:rsidRPr="009971F7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1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1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1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58F" w:rsidRPr="009971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971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5B72" w14:textId="77777777" w:rsidR="00E054B1" w:rsidRDefault="00E054B1" w:rsidP="00A130B3">
      <w:pPr>
        <w:spacing w:after="0" w:line="240" w:lineRule="auto"/>
      </w:pPr>
      <w:r>
        <w:separator/>
      </w:r>
    </w:p>
  </w:footnote>
  <w:footnote w:type="continuationSeparator" w:id="0">
    <w:p w14:paraId="5615991B" w14:textId="77777777" w:rsidR="00E054B1" w:rsidRDefault="00E054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A85ED6"/>
    <w:multiLevelType w:val="hybridMultilevel"/>
    <w:tmpl w:val="77187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0679464">
    <w:abstractNumId w:val="0"/>
  </w:num>
  <w:num w:numId="2" w16cid:durableId="115510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53882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971F7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054B1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Анна Грибачева</cp:lastModifiedBy>
  <cp:revision>6</cp:revision>
  <dcterms:created xsi:type="dcterms:W3CDTF">2023-10-02T14:40:00Z</dcterms:created>
  <dcterms:modified xsi:type="dcterms:W3CDTF">2024-11-10T20:11:00Z</dcterms:modified>
</cp:coreProperties>
</file>