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B1F959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BC391D">
            <w:rPr>
              <w:rFonts w:ascii="Times New Roman" w:eastAsia="Arial Unicode MS" w:hAnsi="Times New Roman" w:cs="Times New Roman"/>
              <w:sz w:val="40"/>
              <w:szCs w:val="40"/>
            </w:rPr>
            <w:t>Турагентская деятельность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DD00A0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25F9E">
          <w:rPr>
            <w:rStyle w:val="ae"/>
            <w:noProof/>
            <w:sz w:val="24"/>
            <w:szCs w:val="24"/>
          </w:rPr>
          <w:t>Турагентская деятельность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6266C26B" w14:textId="0F0F6D1F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41991B2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000306">
        <w:rPr>
          <w:rFonts w:ascii="Times New Roman" w:hAnsi="Times New Roman" w:cs="Times New Roman"/>
          <w:sz w:val="28"/>
          <w:szCs w:val="28"/>
        </w:rPr>
        <w:t xml:space="preserve"> (ТК)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5F9E">
        <w:rPr>
          <w:rFonts w:ascii="Times New Roman" w:hAnsi="Times New Roman" w:cs="Times New Roman"/>
          <w:sz w:val="28"/>
          <w:szCs w:val="28"/>
        </w:rPr>
        <w:t>Турагентская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246952B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25F9E">
        <w:rPr>
          <w:rFonts w:ascii="Times New Roman" w:hAnsi="Times New Roman"/>
          <w:sz w:val="24"/>
        </w:rPr>
        <w:t>ТУРАГЕНТСКАЯ ДЕЯТЕЛЬНОСТЬ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8842FEA" w14:textId="0333B699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8971FA4" w14:textId="77777777" w:rsidR="00000306" w:rsidRDefault="0000030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00306" w:rsidRPr="003732A7" w14:paraId="023B14A7" w14:textId="77777777" w:rsidTr="009529FA">
        <w:tc>
          <w:tcPr>
            <w:tcW w:w="330" w:type="pct"/>
            <w:shd w:val="clear" w:color="auto" w:fill="92D050"/>
            <w:vAlign w:val="center"/>
          </w:tcPr>
          <w:p w14:paraId="2827F6A2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02D6D03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9BBBC7F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00306" w:rsidRPr="003732A7" w14:paraId="317A8B61" w14:textId="77777777" w:rsidTr="009529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F940D35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CB691F" w14:textId="77777777" w:rsidR="00000306" w:rsidRPr="0051731F" w:rsidRDefault="00000306" w:rsidP="009529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Психология общения, продажи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8CA3F3" w14:textId="77777777" w:rsidR="00000306" w:rsidRPr="0051731F" w:rsidRDefault="00000306" w:rsidP="009529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000306" w:rsidRPr="003732A7" w14:paraId="4420957D" w14:textId="77777777" w:rsidTr="009529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41C382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F61FB5" w14:textId="77777777" w:rsidR="00000306" w:rsidRPr="00764773" w:rsidRDefault="00000306" w:rsidP="00952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B2B0F30" w14:textId="77777777" w:rsidR="00000306" w:rsidRPr="00DD4465" w:rsidRDefault="00000306" w:rsidP="00000306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65">
              <w:rPr>
                <w:rFonts w:ascii="Times New Roman" w:hAnsi="Times New Roman"/>
                <w:sz w:val="28"/>
                <w:szCs w:val="28"/>
              </w:rPr>
              <w:t xml:space="preserve">Основы туризма, организация индустрии туризма и гостеприимства, технологии туроператорской и турагентской деятельности; </w:t>
            </w:r>
          </w:p>
          <w:p w14:paraId="2DF27343" w14:textId="77777777" w:rsidR="00000306" w:rsidRPr="00DD4465" w:rsidRDefault="00000306" w:rsidP="00000306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Особенности проведения маркетинговых исследований рынка туристских услуг, выбора методов продвижения и каналов сбыта туристского продукта; </w:t>
            </w:r>
          </w:p>
          <w:p w14:paraId="493CAE7A" w14:textId="77777777" w:rsidR="00000306" w:rsidRPr="00DD4465" w:rsidRDefault="00000306" w:rsidP="00000306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65">
              <w:rPr>
                <w:rFonts w:ascii="Times New Roman" w:hAnsi="Times New Roman"/>
                <w:sz w:val="28"/>
                <w:szCs w:val="28"/>
              </w:rPr>
              <w:t>Основы профессиональной этики и этикета, психологии делового и межличностного общения, управления конфликтами;</w:t>
            </w:r>
          </w:p>
          <w:p w14:paraId="37FE4FB1" w14:textId="77777777" w:rsidR="00000306" w:rsidRPr="00DD4465" w:rsidRDefault="00000306" w:rsidP="00000306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Стратегии, принципы и методы выявления и разрешения конфликтов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441D2E" w14:textId="77777777" w:rsidR="00000306" w:rsidRPr="000244DA" w:rsidRDefault="00000306" w:rsidP="00000306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B2A">
              <w:rPr>
                <w:rFonts w:ascii="Times New Roman" w:hAnsi="Times New Roman"/>
                <w:sz w:val="28"/>
                <w:szCs w:val="28"/>
              </w:rPr>
              <w:t>Иностранные языки в объеме, необходимом для ведения деятельности по предоставлению турагентских услуг.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204C6B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06" w:rsidRPr="003732A7" w14:paraId="633064B4" w14:textId="77777777" w:rsidTr="009529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13B68D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4F0667" w14:textId="77777777" w:rsidR="00000306" w:rsidRPr="00764773" w:rsidRDefault="00000306" w:rsidP="00952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B58CAF" w14:textId="77777777" w:rsidR="00000306" w:rsidRPr="007F70E4" w:rsidRDefault="00000306" w:rsidP="00000306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0E4">
              <w:rPr>
                <w:rFonts w:ascii="Times New Roman" w:hAnsi="Times New Roman"/>
                <w:sz w:val="28"/>
                <w:szCs w:val="28"/>
              </w:rPr>
              <w:t xml:space="preserve">Доводить до туристов необходимую и достоверную информацию, достаточную для совершения путешествия; </w:t>
            </w:r>
          </w:p>
          <w:p w14:paraId="75E30BA9" w14:textId="77777777" w:rsidR="00000306" w:rsidRPr="007F70E4" w:rsidRDefault="00000306" w:rsidP="00000306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0E4">
              <w:rPr>
                <w:rFonts w:ascii="Times New Roman" w:hAnsi="Times New Roman"/>
                <w:sz w:val="28"/>
                <w:szCs w:val="28"/>
              </w:rPr>
              <w:t>Применять эффективные методы общения и правила деловой этики;</w:t>
            </w:r>
          </w:p>
          <w:p w14:paraId="2243366D" w14:textId="77777777" w:rsidR="00000306" w:rsidRDefault="00000306" w:rsidP="00000306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0E4">
              <w:rPr>
                <w:rFonts w:ascii="Times New Roman" w:hAnsi="Times New Roman"/>
                <w:sz w:val="28"/>
                <w:szCs w:val="28"/>
              </w:rPr>
              <w:t>Выявлять, анализировать и разрешать возникающие проблемы и конфликтные ситуации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8BB9F6" w14:textId="77777777" w:rsidR="00000306" w:rsidRDefault="00000306" w:rsidP="00000306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0E4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технологии, технические и программные средства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69B4FD" w14:textId="77777777" w:rsidR="00000306" w:rsidRDefault="00000306" w:rsidP="00000306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Выявлять наиболее эффективные методы продвижения и каналы сбыта туристского продукта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7050FE3C" w14:textId="77777777" w:rsidR="00000306" w:rsidRDefault="00000306" w:rsidP="00000306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Налаживать взаимодействие между туристскими организациями и исполнителями услуг, принимающими и страховыми организациями, визовыми и консульскими учреждениями, туристскими информационными центрами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E364A11" w14:textId="77777777" w:rsidR="00000306" w:rsidRDefault="00000306" w:rsidP="00000306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47">
              <w:rPr>
                <w:rFonts w:ascii="Times New Roman" w:hAnsi="Times New Roman"/>
                <w:sz w:val="28"/>
                <w:szCs w:val="28"/>
              </w:rPr>
              <w:t xml:space="preserve">Выстраивать эффективную систему коммуникаций с туристами, исполнителями услуг, принимающими и страховыми организациями, визовыми и консульскими </w:t>
            </w:r>
            <w:r w:rsidRPr="00705647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учреждениями, туристскими информационными центрами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3C45B33" w14:textId="77777777" w:rsidR="00000306" w:rsidRPr="00394D46" w:rsidRDefault="00000306" w:rsidP="00000306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D46">
              <w:rPr>
                <w:rFonts w:ascii="Times New Roman" w:hAnsi="Times New Roman"/>
                <w:sz w:val="28"/>
                <w:szCs w:val="28"/>
              </w:rPr>
              <w:t>Определять общие и особые потребности туристской группы и индивидуальных туристов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0EEB7219" w14:textId="77777777" w:rsidR="00000306" w:rsidRDefault="00000306" w:rsidP="00000306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2A">
              <w:rPr>
                <w:rFonts w:ascii="Times New Roman" w:hAnsi="Times New Roman"/>
                <w:sz w:val="28"/>
                <w:szCs w:val="28"/>
              </w:rPr>
              <w:t>Организовывать работу с особыми группами и категориями клиентов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84CFE4" w14:textId="77777777" w:rsidR="00000306" w:rsidRPr="000244DA" w:rsidRDefault="00000306" w:rsidP="00000306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B2A">
              <w:rPr>
                <w:rFonts w:ascii="Times New Roman" w:hAnsi="Times New Roman"/>
                <w:sz w:val="28"/>
                <w:szCs w:val="28"/>
              </w:rPr>
              <w:t>Использовать приемы эффективного общения и соблюдать культуру межличностных отношений с туристами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286179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06" w:rsidRPr="003732A7" w14:paraId="50860FAE" w14:textId="77777777" w:rsidTr="009529FA">
        <w:trPr>
          <w:trHeight w:val="25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2943012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A0504D9" w14:textId="77777777" w:rsidR="00000306" w:rsidRPr="0051731F" w:rsidRDefault="00000306" w:rsidP="009529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 заказчика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97B84C" w14:textId="77777777" w:rsidR="00000306" w:rsidRPr="0051731F" w:rsidRDefault="00000306" w:rsidP="009529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000306" w:rsidRPr="003732A7" w14:paraId="754FD6D2" w14:textId="77777777" w:rsidTr="009529FA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145868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907197" w14:textId="77777777" w:rsidR="00000306" w:rsidRPr="007F70E4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D625F3C" w14:textId="77777777" w:rsidR="00000306" w:rsidRDefault="00000306" w:rsidP="00000306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 xml:space="preserve">Законы и иные нормативно-правовые акты в сфере туризма, рекламы, защиты прав потребителей, законодательство о туристских формальностях, гражданское законодательство, отраслевые правила и стандарты (ГОСТ); </w:t>
            </w:r>
          </w:p>
          <w:p w14:paraId="01EC4F2D" w14:textId="77777777" w:rsidR="00000306" w:rsidRDefault="00000306" w:rsidP="00000306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Приоритетные направления и принципы устойчивого развития туризма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1A624AC" w14:textId="77777777" w:rsidR="00000306" w:rsidRDefault="00000306" w:rsidP="00000306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Туристский потенциал, географические, историко-культурные и социально-экономические особенности туристских дестинаций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DD9C496" w14:textId="77777777" w:rsidR="00000306" w:rsidRDefault="00000306" w:rsidP="00000306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Основы туризма, организация индустрии туризма и гостеприимства, технологии туроператорской и турагентской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65780C3" w14:textId="77777777" w:rsidR="00000306" w:rsidRDefault="00000306" w:rsidP="00000306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Основы маркетинга, направления и технологии цифрового маркетинга в сфере туризма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45F3A39D" w14:textId="77777777" w:rsidR="00000306" w:rsidRDefault="00000306" w:rsidP="00000306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31F">
              <w:rPr>
                <w:rFonts w:ascii="Times New Roman" w:hAnsi="Times New Roman"/>
                <w:sz w:val="28"/>
                <w:szCs w:val="28"/>
              </w:rPr>
              <w:t>Основы планирования развития туристских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ED891A8" w14:textId="77777777" w:rsidR="00000306" w:rsidRPr="00034533" w:rsidRDefault="00000306" w:rsidP="00000306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31F">
              <w:rPr>
                <w:rFonts w:ascii="Times New Roman" w:hAnsi="Times New Roman"/>
                <w:sz w:val="28"/>
                <w:szCs w:val="28"/>
              </w:rPr>
              <w:t>География туристских центров, географические, историко-культурные и социально-экономические особенности туристских дестинаций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58A8C8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06" w:rsidRPr="003732A7" w14:paraId="31CC7E52" w14:textId="77777777" w:rsidTr="009529FA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F13226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1D9905" w14:textId="77777777" w:rsidR="00000306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C843E03" w14:textId="77777777" w:rsidR="00000306" w:rsidRDefault="00000306" w:rsidP="00000306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lastRenderedPageBreak/>
              <w:t>Учитывать особенности типов, категорий и видов туризма при организации деятельности по реализации туристского продукта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284BFA31" w14:textId="77777777" w:rsidR="00000306" w:rsidRPr="007F70E4" w:rsidRDefault="00000306" w:rsidP="00000306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B2A">
              <w:rPr>
                <w:rFonts w:ascii="Times New Roman" w:hAnsi="Times New Roman"/>
                <w:sz w:val="28"/>
                <w:szCs w:val="28"/>
              </w:rPr>
              <w:t>Обеспечивать правильный выбор потребителем туристского продукта и отдельных туристских услуг.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CA0272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06" w:rsidRPr="003732A7" w14:paraId="2B219555" w14:textId="77777777" w:rsidTr="009529FA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D16DE64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15E6A8F" w14:textId="77777777" w:rsidR="00000306" w:rsidRPr="0051731F" w:rsidRDefault="00000306" w:rsidP="009529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специализированных системах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2ACDAF" w14:textId="77777777" w:rsidR="00000306" w:rsidRPr="0051731F" w:rsidRDefault="00000306" w:rsidP="009529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000306" w:rsidRPr="003732A7" w14:paraId="28ABE96D" w14:textId="77777777" w:rsidTr="009529FA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6AA0CA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A74718" w14:textId="77777777" w:rsidR="00000306" w:rsidRPr="007F70E4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F5F11CD" w14:textId="77777777" w:rsidR="00000306" w:rsidRDefault="00000306" w:rsidP="00000306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 xml:space="preserve">Методики работы с информационно-справочными материалами и ценовыми предложениями туроператоров; </w:t>
            </w:r>
          </w:p>
          <w:p w14:paraId="1D3AB426" w14:textId="77777777" w:rsidR="00000306" w:rsidRDefault="00000306" w:rsidP="00000306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Правила 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701DE500" w14:textId="77777777" w:rsidR="00000306" w:rsidRDefault="00000306" w:rsidP="00000306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Формы работы туристских организаций с исполнителями услуг, принимающими и страховыми организациями, визовыми и консульскими учреждениями, туристскими информационными центрами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45E730FA" w14:textId="77777777" w:rsidR="00000306" w:rsidRDefault="00000306" w:rsidP="00000306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65">
              <w:rPr>
                <w:rFonts w:ascii="Times New Roman" w:hAnsi="Times New Roman"/>
                <w:sz w:val="28"/>
                <w:szCs w:val="28"/>
              </w:rPr>
              <w:t xml:space="preserve">Информационно-коммуникационные технологии, принципы работы и правила использования технических средств и программного обеспечения; </w:t>
            </w:r>
          </w:p>
          <w:p w14:paraId="514EC9F3" w14:textId="77777777" w:rsidR="00000306" w:rsidRDefault="00000306" w:rsidP="00000306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368">
              <w:rPr>
                <w:rFonts w:ascii="Times New Roman" w:hAnsi="Times New Roman"/>
                <w:sz w:val="28"/>
                <w:szCs w:val="28"/>
              </w:rPr>
              <w:t>Направления и технологии реализации туристского продукта в цифровой и виртуальной среде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56A65507" w14:textId="77777777" w:rsidR="00000306" w:rsidRDefault="00000306" w:rsidP="00000306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368">
              <w:rPr>
                <w:rFonts w:ascii="Times New Roman" w:hAnsi="Times New Roman"/>
                <w:sz w:val="28"/>
                <w:szCs w:val="28"/>
              </w:rPr>
              <w:t>Технологии подбора и бронирования туристского продукта и отдельных туристских услуг, подтверждения заказов (заявок на бронирование)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4618E102" w14:textId="77777777" w:rsidR="00000306" w:rsidRPr="000244DA" w:rsidRDefault="00000306" w:rsidP="00000306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B2A">
              <w:rPr>
                <w:rFonts w:ascii="Times New Roman" w:hAnsi="Times New Roman"/>
                <w:sz w:val="28"/>
                <w:szCs w:val="28"/>
              </w:rPr>
              <w:t>Порядок контроля прохождения и выполнения заказов (заявок на бронирование) на туристский продукт и отдельные туристские услуги.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7CE00B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06" w:rsidRPr="003732A7" w14:paraId="72F30A1D" w14:textId="77777777" w:rsidTr="009529FA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26D5DC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E73BE6" w14:textId="77777777" w:rsidR="00000306" w:rsidRPr="007F70E4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3F1E4BD" w14:textId="77777777" w:rsidR="00000306" w:rsidRPr="008855C4" w:rsidRDefault="00000306" w:rsidP="00000306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Применять туристские маркетплейсы и агрегаторы услуг для предоставления информации, бронирования и реализации туристского продукта; </w:t>
            </w:r>
          </w:p>
          <w:p w14:paraId="41E0D5A4" w14:textId="77777777" w:rsidR="00000306" w:rsidRDefault="00000306" w:rsidP="00000306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C4">
              <w:rPr>
                <w:rFonts w:ascii="Times New Roman" w:hAnsi="Times New Roman"/>
                <w:sz w:val="28"/>
                <w:szCs w:val="28"/>
              </w:rPr>
              <w:t>Реализовывать туристский продукт в цифровой и виртуальной среде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970CA25" w14:textId="77777777" w:rsidR="00000306" w:rsidRPr="000244DA" w:rsidRDefault="00000306" w:rsidP="00000306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Применять технологии подбора и бронирования туристского продукта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07D7EB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06" w:rsidRPr="003732A7" w14:paraId="27CFA1A7" w14:textId="77777777" w:rsidTr="009529FA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0D80021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989ED19" w14:textId="77777777" w:rsidR="00000306" w:rsidRPr="00095AA3" w:rsidRDefault="00000306" w:rsidP="009529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документацией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599C58" w14:textId="77777777" w:rsidR="00000306" w:rsidRPr="00095AA3" w:rsidRDefault="00000306" w:rsidP="009529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00306" w:rsidRPr="003732A7" w14:paraId="6C04EC65" w14:textId="77777777" w:rsidTr="009529FA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795AA8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97DAD0" w14:textId="77777777" w:rsidR="00000306" w:rsidRPr="007F70E4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9B23A19" w14:textId="77777777" w:rsidR="00000306" w:rsidRDefault="00000306" w:rsidP="0000030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 xml:space="preserve">Правила оформления платежной, туристской, страховой, визовой и отчетной документации, порядок подготовки, заключения и исполнения договоров; </w:t>
            </w:r>
          </w:p>
          <w:p w14:paraId="456BB76F" w14:textId="77777777" w:rsidR="00000306" w:rsidRDefault="00000306" w:rsidP="0000030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1E1">
              <w:rPr>
                <w:rFonts w:ascii="Times New Roman" w:hAnsi="Times New Roman"/>
                <w:sz w:val="28"/>
                <w:szCs w:val="28"/>
              </w:rPr>
              <w:t>Требования к безопасности персональных данных туристов и/или иных заказчиков, качеству и безопасности услуг, входящих в туристский продукт, обеспечению личной безопасности туристов в процессе путешествия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5068FBF5" w14:textId="77777777" w:rsidR="00000306" w:rsidRDefault="00000306" w:rsidP="0000030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Правила оформления платежной, туристской, страховой и визовой документации, порядок подготовки, заключения и исполнения гражданско-правовых и трудовых договоров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696CFA7" w14:textId="77777777" w:rsidR="00000306" w:rsidRPr="000244DA" w:rsidRDefault="00000306" w:rsidP="0000030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B2A">
              <w:rPr>
                <w:rFonts w:ascii="Times New Roman" w:hAnsi="Times New Roman"/>
                <w:sz w:val="28"/>
                <w:szCs w:val="28"/>
              </w:rPr>
              <w:t>Особенности делопроизводства, документооборота, оформления отчетности и налогообложения.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A917DA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06" w:rsidRPr="003732A7" w14:paraId="68035FCE" w14:textId="77777777" w:rsidTr="009529FA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EDD59B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2858FA" w14:textId="77777777" w:rsidR="00000306" w:rsidRPr="007F70E4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4EA351A" w14:textId="77777777" w:rsidR="00000306" w:rsidRDefault="00000306" w:rsidP="0000030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C4">
              <w:rPr>
                <w:rFonts w:ascii="Times New Roman" w:hAnsi="Times New Roman"/>
                <w:sz w:val="28"/>
                <w:szCs w:val="28"/>
              </w:rPr>
              <w:t>Формировать пакет договорной, платежной и туристской документации в соответствии с поступившими заказами (заявками на бронирование)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58040ED2" w14:textId="77777777" w:rsidR="00000306" w:rsidRDefault="00000306" w:rsidP="0000030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47">
              <w:rPr>
                <w:rFonts w:ascii="Times New Roman" w:hAnsi="Times New Roman"/>
                <w:sz w:val="28"/>
                <w:szCs w:val="28"/>
              </w:rPr>
              <w:t>Соблюдать требования к оформлению договоров страхования, въездных и выездных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EB9692E" w14:textId="77777777" w:rsidR="00000306" w:rsidRDefault="00000306" w:rsidP="0000030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47">
              <w:rPr>
                <w:rFonts w:ascii="Times New Roman" w:hAnsi="Times New Roman"/>
                <w:sz w:val="28"/>
                <w:szCs w:val="28"/>
              </w:rPr>
              <w:t>Владеть приемами работы с единой информационной системой электронных путевок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1A04C9DA" w14:textId="77777777" w:rsidR="00000306" w:rsidRDefault="00000306" w:rsidP="0000030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47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средства и способы защиты персональных данных туристов и/или иных заказчиков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44C07641" w14:textId="77777777" w:rsidR="00000306" w:rsidRPr="000244DA" w:rsidRDefault="00000306" w:rsidP="0000030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Формировать систему договоров и документооборота подразделения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856F16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06" w:rsidRPr="003732A7" w14:paraId="480EAA59" w14:textId="77777777" w:rsidTr="009529FA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7F403E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0D085A3" w14:textId="77777777" w:rsidR="00000306" w:rsidRPr="00095AA3" w:rsidRDefault="00000306" w:rsidP="009529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и системный анализ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A35C09" w14:textId="77777777" w:rsidR="00000306" w:rsidRPr="00095AA3" w:rsidRDefault="00000306" w:rsidP="009529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000306" w:rsidRPr="003732A7" w14:paraId="34690D3D" w14:textId="77777777" w:rsidTr="009529FA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A9FEE8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A4FDAC" w14:textId="77777777" w:rsidR="00000306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5A47ED5" w14:textId="77777777" w:rsidR="00000306" w:rsidRDefault="00000306" w:rsidP="0000030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Функции управления и особенности их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2A298EE" w14:textId="77777777" w:rsidR="00000306" w:rsidRDefault="00000306" w:rsidP="0000030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Методы сбора и анализа информации о работе туристских организаций и их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2D1BD7F" w14:textId="77777777" w:rsidR="00000306" w:rsidRDefault="00000306" w:rsidP="0000030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Особенности текущего и перспективного планирования деятельности подразделений, выработки и принятия управленческих решений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5FA593" w14:textId="77777777" w:rsidR="00000306" w:rsidRDefault="00000306" w:rsidP="0000030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Системы мотивирования персонала и обеспечения качества его работы, контроля и повышения эффективности деятельности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75FDCBB" w14:textId="77777777" w:rsidR="00000306" w:rsidRDefault="00000306" w:rsidP="0000030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Методики расчета финансово-экономических показателей деятельности подразделений и показателей качества работы персонала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73A3D429" w14:textId="77777777" w:rsidR="00000306" w:rsidRPr="000244DA" w:rsidRDefault="00000306" w:rsidP="0000030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распорядка, безопасности и охраны труда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0F2E1D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06" w:rsidRPr="003732A7" w14:paraId="03C895CA" w14:textId="77777777" w:rsidTr="009529FA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2DBCFE" w14:textId="77777777" w:rsidR="00000306" w:rsidRPr="000244DA" w:rsidRDefault="00000306" w:rsidP="0095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EB84254" w14:textId="77777777" w:rsidR="00000306" w:rsidRPr="00095AA3" w:rsidRDefault="00000306" w:rsidP="009529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5AA3">
              <w:rPr>
                <w:rFonts w:ascii="Times New Roman" w:hAnsi="Times New Roman"/>
                <w:bCs/>
                <w:sz w:val="28"/>
                <w:szCs w:val="28"/>
              </w:rPr>
              <w:t>Специалист должен уметь:</w:t>
            </w:r>
          </w:p>
          <w:p w14:paraId="1DD55321" w14:textId="77777777" w:rsidR="00000306" w:rsidRDefault="00000306" w:rsidP="00000306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Анализировать и использовать информацию о деятельности туристской организации и ее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E2DED3" w14:textId="77777777" w:rsidR="00000306" w:rsidRDefault="00000306" w:rsidP="00000306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Составлять и корректировать план работы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98B0337" w14:textId="77777777" w:rsidR="00000306" w:rsidRDefault="00000306" w:rsidP="00000306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Использовать методы выработки и принятия управленческих решений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5074886" w14:textId="77777777" w:rsidR="00000306" w:rsidRDefault="00000306" w:rsidP="00000306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Выявлять, анализировать и разрешать проблемы ведения операционной деятельности по продвижению и реализации туристского продукта, предоставлению услуг сопровождения туристов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375F39A" w14:textId="77777777" w:rsidR="00000306" w:rsidRDefault="00000306" w:rsidP="00000306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lastRenderedPageBreak/>
              <w:t>Оценивать качество и эффективность работы подразделений и персонала, вырабатывать меры по их повышению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0F3A40" w14:textId="77777777" w:rsidR="00000306" w:rsidRPr="00095AA3" w:rsidRDefault="00000306" w:rsidP="00000306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Рассчитывать финансово-экономические показатели деятельности подразделений и показатели качества работы персонала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3AAB40" w14:textId="77777777" w:rsidR="00000306" w:rsidRPr="000244DA" w:rsidRDefault="00000306" w:rsidP="0095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AB5D52" w14:textId="77777777" w:rsidR="00000306" w:rsidRDefault="0000030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C5373D" w14:textId="77777777" w:rsidR="00000306" w:rsidRPr="00640E46" w:rsidRDefault="0000030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345"/>
        <w:gridCol w:w="867"/>
        <w:gridCol w:w="849"/>
        <w:gridCol w:w="851"/>
        <w:gridCol w:w="849"/>
        <w:gridCol w:w="851"/>
        <w:gridCol w:w="853"/>
        <w:gridCol w:w="2118"/>
      </w:tblGrid>
      <w:tr w:rsidR="00473C4A" w:rsidRPr="00613219" w14:paraId="0A2AADAC" w14:textId="77777777" w:rsidTr="00000306">
        <w:trPr>
          <w:trHeight w:val="1538"/>
          <w:jc w:val="center"/>
        </w:trPr>
        <w:tc>
          <w:tcPr>
            <w:tcW w:w="3457" w:type="pct"/>
            <w:gridSpan w:val="7"/>
            <w:shd w:val="clear" w:color="auto" w:fill="92D050"/>
            <w:vAlign w:val="center"/>
          </w:tcPr>
          <w:p w14:paraId="1FBCAF52" w14:textId="730933C1" w:rsidR="00473C4A" w:rsidRPr="00613219" w:rsidRDefault="00473C4A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443" w:type="pct"/>
            <w:shd w:val="clear" w:color="auto" w:fill="92D050"/>
            <w:vAlign w:val="center"/>
          </w:tcPr>
          <w:p w14:paraId="07D5AA59" w14:textId="40A01FD1" w:rsidR="00473C4A" w:rsidRPr="00613219" w:rsidRDefault="00473C4A" w:rsidP="00C17B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92D050"/>
            <w:vAlign w:val="center"/>
          </w:tcPr>
          <w:p w14:paraId="2AF4BE06" w14:textId="43F17F2B" w:rsidR="00473C4A" w:rsidRPr="00613219" w:rsidRDefault="00473C4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00306" w:rsidRPr="00613219" w14:paraId="6EDBED15" w14:textId="77777777" w:rsidTr="00000306">
        <w:trPr>
          <w:trHeight w:val="50"/>
          <w:jc w:val="center"/>
        </w:trPr>
        <w:tc>
          <w:tcPr>
            <w:tcW w:w="1062" w:type="pct"/>
            <w:vMerge w:val="restart"/>
            <w:shd w:val="clear" w:color="auto" w:fill="92D050"/>
            <w:vAlign w:val="center"/>
          </w:tcPr>
          <w:p w14:paraId="22554985" w14:textId="0EDAD76E" w:rsidR="00473C4A" w:rsidRPr="00613219" w:rsidRDefault="00473C4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9" w:type="pct"/>
            <w:shd w:val="clear" w:color="auto" w:fill="92D050"/>
            <w:vAlign w:val="center"/>
          </w:tcPr>
          <w:p w14:paraId="3CF24956" w14:textId="77777777" w:rsidR="00473C4A" w:rsidRPr="00613219" w:rsidRDefault="00473C4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14:paraId="35F42FCD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73DA90DA" w14:textId="11265A4A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22F4030B" w14:textId="447655FE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06257C9D" w14:textId="6349D29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672A4EAD" w14:textId="262508A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43" w:type="pct"/>
            <w:shd w:val="clear" w:color="auto" w:fill="00B050"/>
            <w:vAlign w:val="center"/>
          </w:tcPr>
          <w:p w14:paraId="5D19332A" w14:textId="58DE575D" w:rsidR="00473C4A" w:rsidRPr="00000306" w:rsidRDefault="0000030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00" w:type="pct"/>
            <w:shd w:val="clear" w:color="auto" w:fill="00B050"/>
            <w:vAlign w:val="center"/>
          </w:tcPr>
          <w:p w14:paraId="089247DF" w14:textId="77777777" w:rsidR="00473C4A" w:rsidRPr="00613219" w:rsidRDefault="00473C4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00306" w:rsidRPr="00613219" w14:paraId="61D77BE1" w14:textId="77777777" w:rsidTr="00000306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06232BE1" w14:textId="77777777" w:rsidR="00473C4A" w:rsidRPr="00613219" w:rsidRDefault="00473C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0E5703EC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14:paraId="3B3E3C84" w14:textId="7F3A6BA8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1" w:type="pct"/>
            <w:vAlign w:val="center"/>
          </w:tcPr>
          <w:p w14:paraId="5DA46E3D" w14:textId="7F411991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vAlign w:val="center"/>
          </w:tcPr>
          <w:p w14:paraId="082615A5" w14:textId="7F7ED485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1" w:type="pct"/>
            <w:vAlign w:val="center"/>
          </w:tcPr>
          <w:p w14:paraId="38191B9B" w14:textId="3FABF478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2" w:type="pct"/>
            <w:vAlign w:val="center"/>
          </w:tcPr>
          <w:p w14:paraId="3644D9C8" w14:textId="4DA66F5C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14:paraId="0A63AAA5" w14:textId="050B0015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712CE198" w14:textId="5FB70674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00306" w:rsidRPr="00613219" w14:paraId="4EB85C79" w14:textId="77777777" w:rsidTr="00000306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22B843BA" w14:textId="77777777" w:rsidR="00473C4A" w:rsidRPr="00613219" w:rsidRDefault="00473C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120AFA02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14:paraId="4A25E47C" w14:textId="0B7F69E9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1" w:type="pct"/>
            <w:vAlign w:val="center"/>
          </w:tcPr>
          <w:p w14:paraId="2ABB4702" w14:textId="791BA80E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2" w:type="pct"/>
            <w:vAlign w:val="center"/>
          </w:tcPr>
          <w:p w14:paraId="6D9FE905" w14:textId="350B154D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1" w:type="pct"/>
            <w:vAlign w:val="center"/>
          </w:tcPr>
          <w:p w14:paraId="2ABB6818" w14:textId="053CFA53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2" w:type="pct"/>
            <w:vAlign w:val="center"/>
          </w:tcPr>
          <w:p w14:paraId="72951D2F" w14:textId="0F5C0358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3" w:type="pct"/>
            <w:vAlign w:val="center"/>
          </w:tcPr>
          <w:p w14:paraId="5D8D8451" w14:textId="57F8FB7E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6E5BB194" w14:textId="561F24DA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000306" w:rsidRPr="00613219" w14:paraId="270858FE" w14:textId="77777777" w:rsidTr="00000306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11C06268" w14:textId="77777777" w:rsidR="00473C4A" w:rsidRPr="00613219" w:rsidRDefault="00473C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1C8BD818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50" w:type="pct"/>
            <w:vAlign w:val="center"/>
          </w:tcPr>
          <w:p w14:paraId="3BEDDFEB" w14:textId="03D592AB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1" w:type="pct"/>
            <w:vAlign w:val="center"/>
          </w:tcPr>
          <w:p w14:paraId="2FB413FD" w14:textId="33686AEF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vAlign w:val="center"/>
          </w:tcPr>
          <w:p w14:paraId="2A6F8DAE" w14:textId="47DB313C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1" w:type="pct"/>
            <w:vAlign w:val="center"/>
          </w:tcPr>
          <w:p w14:paraId="149B0B9A" w14:textId="3EFC9F8B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1B18E00D" w14:textId="7C815BAD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3" w:type="pct"/>
            <w:vAlign w:val="center"/>
          </w:tcPr>
          <w:p w14:paraId="245802AE" w14:textId="09A7074B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35C37911" w14:textId="1DFDF78E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000306" w:rsidRPr="00613219" w14:paraId="729DCFA9" w14:textId="77777777" w:rsidTr="00000306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064ADD9F" w14:textId="77777777" w:rsidR="00473C4A" w:rsidRPr="00613219" w:rsidRDefault="00473C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0124CBF9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50" w:type="pct"/>
            <w:vAlign w:val="center"/>
          </w:tcPr>
          <w:p w14:paraId="7BB1AD33" w14:textId="330EB829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1" w:type="pct"/>
            <w:vAlign w:val="center"/>
          </w:tcPr>
          <w:p w14:paraId="6A4E8200" w14:textId="56BBD1DD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vAlign w:val="center"/>
          </w:tcPr>
          <w:p w14:paraId="60DE24C5" w14:textId="7E6EE45F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1" w:type="pct"/>
            <w:vAlign w:val="center"/>
          </w:tcPr>
          <w:p w14:paraId="4535938D" w14:textId="7F3C0F96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2" w:type="pct"/>
            <w:vAlign w:val="center"/>
          </w:tcPr>
          <w:p w14:paraId="336A56F9" w14:textId="3E2EF018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14:paraId="119764A1" w14:textId="29BD9346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5CA64B26" w14:textId="50516075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00306" w:rsidRPr="00613219" w14:paraId="22BB9E7A" w14:textId="77777777" w:rsidTr="00000306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2B3484F3" w14:textId="77777777" w:rsidR="00473C4A" w:rsidRPr="00613219" w:rsidRDefault="00473C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18DD302D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50" w:type="pct"/>
            <w:vAlign w:val="center"/>
          </w:tcPr>
          <w:p w14:paraId="788DF647" w14:textId="5CEE3707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1" w:type="pct"/>
            <w:vAlign w:val="center"/>
          </w:tcPr>
          <w:p w14:paraId="792DEA04" w14:textId="39C1EF2B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vAlign w:val="center"/>
          </w:tcPr>
          <w:p w14:paraId="71778EC4" w14:textId="6001267A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1" w:type="pct"/>
            <w:vAlign w:val="center"/>
          </w:tcPr>
          <w:p w14:paraId="12ACE406" w14:textId="272DF8B4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vAlign w:val="center"/>
          </w:tcPr>
          <w:p w14:paraId="0DB48689" w14:textId="29AAD7D3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14:paraId="6199ECC4" w14:textId="1A26899A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4A57BB5C" w14:textId="7DB5C73C" w:rsidR="00473C4A" w:rsidRPr="00613219" w:rsidRDefault="000003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0306" w:rsidRPr="00613219" w14:paraId="7A651F98" w14:textId="77777777" w:rsidTr="00000306">
        <w:trPr>
          <w:trHeight w:val="50"/>
          <w:jc w:val="center"/>
        </w:trPr>
        <w:tc>
          <w:tcPr>
            <w:tcW w:w="1241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62B470B5" w14:textId="12FB5DDC" w:rsidR="007274B8" w:rsidRPr="00613219" w:rsidRDefault="0000030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F54C3E5" w14:textId="2330BB2A" w:rsidR="007274B8" w:rsidRPr="00613219" w:rsidRDefault="0000030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31EC0780" w14:textId="65A7595A" w:rsidR="007274B8" w:rsidRPr="00613219" w:rsidRDefault="0000030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6E89523" w14:textId="22CC7EB5" w:rsidR="007274B8" w:rsidRPr="00613219" w:rsidRDefault="0000030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63AE3F2C" w14:textId="32F7F5A1" w:rsidR="007274B8" w:rsidRPr="00613219" w:rsidRDefault="0000030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3" w:type="pct"/>
            <w:shd w:val="clear" w:color="auto" w:fill="F2F2F2" w:themeFill="background1" w:themeFillShade="F2"/>
            <w:vAlign w:val="center"/>
          </w:tcPr>
          <w:p w14:paraId="2EBA648F" w14:textId="6D96E2F9" w:rsidR="007274B8" w:rsidRPr="00613219" w:rsidRDefault="0000030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6A6FA4AB" w14:textId="4230648A" w:rsidR="00473C4A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563"/>
        <w:gridCol w:w="5523"/>
      </w:tblGrid>
      <w:tr w:rsidR="004F4198" w:rsidRPr="009D04EE" w14:paraId="17EE13F7" w14:textId="77777777" w:rsidTr="009529FA">
        <w:tc>
          <w:tcPr>
            <w:tcW w:w="2132" w:type="pct"/>
            <w:gridSpan w:val="2"/>
            <w:shd w:val="clear" w:color="auto" w:fill="92D050"/>
          </w:tcPr>
          <w:p w14:paraId="0E8D4DB6" w14:textId="77777777" w:rsidR="004F4198" w:rsidRPr="00437D28" w:rsidRDefault="004F4198" w:rsidP="009529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68" w:type="pct"/>
            <w:shd w:val="clear" w:color="auto" w:fill="92D050"/>
          </w:tcPr>
          <w:p w14:paraId="5DEAE8B3" w14:textId="77777777" w:rsidR="004F4198" w:rsidRPr="00437D28" w:rsidRDefault="004F4198" w:rsidP="009529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F4198" w:rsidRPr="009D04EE" w14:paraId="009BAC14" w14:textId="77777777" w:rsidTr="009529FA">
        <w:tc>
          <w:tcPr>
            <w:tcW w:w="282" w:type="pct"/>
            <w:shd w:val="clear" w:color="auto" w:fill="00B050"/>
          </w:tcPr>
          <w:p w14:paraId="2380A4A7" w14:textId="77777777" w:rsidR="004F4198" w:rsidRPr="00437D28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850" w:type="pct"/>
            <w:shd w:val="clear" w:color="auto" w:fill="92D050"/>
          </w:tcPr>
          <w:p w14:paraId="19395DCE" w14:textId="77777777" w:rsidR="004F4198" w:rsidRPr="004904C5" w:rsidRDefault="004F4198" w:rsidP="00952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43CE">
              <w:rPr>
                <w:b/>
                <w:sz w:val="24"/>
                <w:szCs w:val="24"/>
              </w:rPr>
              <w:t>«Специфика работы туристской организации»</w:t>
            </w:r>
          </w:p>
        </w:tc>
        <w:tc>
          <w:tcPr>
            <w:tcW w:w="2868" w:type="pct"/>
            <w:shd w:val="clear" w:color="auto" w:fill="auto"/>
          </w:tcPr>
          <w:p w14:paraId="48D07815" w14:textId="77777777" w:rsidR="004F4198" w:rsidRPr="009D04EE" w:rsidRDefault="004F4198" w:rsidP="00952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умение осуществлять сбор и анализ информации для открытия туристской организации в заданной локации, умение </w:t>
            </w:r>
            <w:r>
              <w:rPr>
                <w:sz w:val="24"/>
                <w:szCs w:val="24"/>
              </w:rPr>
              <w:lastRenderedPageBreak/>
              <w:t xml:space="preserve">составлять и презентовать план по открытию туристской организации, умение осуществлять финансовые расчеты и прогноз деятельности туристской организации.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>Экспертами 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  <w:tr w:rsidR="004F4198" w:rsidRPr="009D04EE" w14:paraId="44CE464D" w14:textId="77777777" w:rsidTr="009529FA">
        <w:tc>
          <w:tcPr>
            <w:tcW w:w="282" w:type="pct"/>
            <w:shd w:val="clear" w:color="auto" w:fill="00B050"/>
          </w:tcPr>
          <w:p w14:paraId="6F2524B3" w14:textId="77777777" w:rsidR="004F4198" w:rsidRPr="00437D28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850" w:type="pct"/>
            <w:shd w:val="clear" w:color="auto" w:fill="92D050"/>
          </w:tcPr>
          <w:p w14:paraId="7EFDD206" w14:textId="77777777" w:rsidR="004F4198" w:rsidRPr="007343CE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43CE">
              <w:rPr>
                <w:b/>
                <w:bCs/>
                <w:sz w:val="24"/>
                <w:szCs w:val="24"/>
              </w:rPr>
              <w:t xml:space="preserve">«Аттестация» турагента» </w:t>
            </w:r>
          </w:p>
        </w:tc>
        <w:tc>
          <w:tcPr>
            <w:tcW w:w="2868" w:type="pct"/>
            <w:shd w:val="clear" w:color="auto" w:fill="auto"/>
          </w:tcPr>
          <w:p w14:paraId="6A6F243E" w14:textId="77777777" w:rsidR="004F4198" w:rsidRPr="009D04EE" w:rsidRDefault="004F4198" w:rsidP="00952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знания особенностей и специфики работы турагента, умение решать практические задачи в формате «кейсов».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>Экспертами 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  <w:tr w:rsidR="004F4198" w:rsidRPr="009D04EE" w14:paraId="085A3843" w14:textId="77777777" w:rsidTr="009529FA">
        <w:tc>
          <w:tcPr>
            <w:tcW w:w="282" w:type="pct"/>
            <w:shd w:val="clear" w:color="auto" w:fill="00B050"/>
          </w:tcPr>
          <w:p w14:paraId="386BC167" w14:textId="77777777" w:rsidR="004F4198" w:rsidRPr="00437D28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850" w:type="pct"/>
            <w:shd w:val="clear" w:color="auto" w:fill="92D050"/>
          </w:tcPr>
          <w:p w14:paraId="18E7668F" w14:textId="77777777" w:rsidR="004F4198" w:rsidRPr="007343CE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43CE">
              <w:rPr>
                <w:b/>
                <w:bCs/>
                <w:sz w:val="24"/>
                <w:szCs w:val="24"/>
              </w:rPr>
              <w:t>«Работа с клиентом в офисе турагентства»</w:t>
            </w:r>
          </w:p>
        </w:tc>
        <w:tc>
          <w:tcPr>
            <w:tcW w:w="2868" w:type="pct"/>
            <w:shd w:val="clear" w:color="auto" w:fill="auto"/>
          </w:tcPr>
          <w:p w14:paraId="00564323" w14:textId="77777777" w:rsidR="004F4198" w:rsidRPr="009D04EE" w:rsidRDefault="004F4198" w:rsidP="00952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умения и навыки работы с клиентом туристской организации на этапах выявления потребностей, поиска соответствующего предложения, презентации оформленного предложения клиенту, а также умение работать в специализированном программном обеспечении, применяемом в туристских организациях.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>Экспертами 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  <w:tr w:rsidR="004F4198" w:rsidRPr="009D04EE" w14:paraId="69254316" w14:textId="77777777" w:rsidTr="009529FA">
        <w:tc>
          <w:tcPr>
            <w:tcW w:w="282" w:type="pct"/>
            <w:shd w:val="clear" w:color="auto" w:fill="00B050"/>
          </w:tcPr>
          <w:p w14:paraId="082D0BB5" w14:textId="77777777" w:rsidR="004F4198" w:rsidRPr="00437D28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850" w:type="pct"/>
            <w:shd w:val="clear" w:color="auto" w:fill="92D050"/>
          </w:tcPr>
          <w:p w14:paraId="4326C46F" w14:textId="77777777" w:rsidR="004F4198" w:rsidRPr="007343CE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43CE">
              <w:rPr>
                <w:b/>
                <w:bCs/>
                <w:sz w:val="24"/>
                <w:szCs w:val="24"/>
              </w:rPr>
              <w:t>«Документооборот с туристом»</w:t>
            </w:r>
          </w:p>
        </w:tc>
        <w:tc>
          <w:tcPr>
            <w:tcW w:w="2868" w:type="pct"/>
            <w:shd w:val="clear" w:color="auto" w:fill="auto"/>
          </w:tcPr>
          <w:p w14:paraId="414AAEEB" w14:textId="77777777" w:rsidR="004F4198" w:rsidRPr="004904C5" w:rsidRDefault="004F4198" w:rsidP="00952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умение осуществлять работу с пакетом документов для клиента, консультации клиента перед путешествием, знание нюансов и особенностей совершения поездок по Российской Федерации и в зарубежные страны.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>Экспертами 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  <w:tr w:rsidR="004F4198" w:rsidRPr="009D04EE" w14:paraId="1C9BE67E" w14:textId="77777777" w:rsidTr="009529FA">
        <w:tc>
          <w:tcPr>
            <w:tcW w:w="282" w:type="pct"/>
            <w:shd w:val="clear" w:color="auto" w:fill="00B050"/>
          </w:tcPr>
          <w:p w14:paraId="558B9B67" w14:textId="77777777" w:rsidR="004F4198" w:rsidRPr="00437D28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850" w:type="pct"/>
            <w:shd w:val="clear" w:color="auto" w:fill="92D050"/>
          </w:tcPr>
          <w:p w14:paraId="67D59449" w14:textId="77777777" w:rsidR="004F4198" w:rsidRPr="007343CE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43CE">
              <w:rPr>
                <w:b/>
                <w:bCs/>
                <w:sz w:val="24"/>
                <w:szCs w:val="24"/>
              </w:rPr>
              <w:t>«Организация «нестандартного» тура»</w:t>
            </w:r>
          </w:p>
        </w:tc>
        <w:tc>
          <w:tcPr>
            <w:tcW w:w="2868" w:type="pct"/>
            <w:shd w:val="clear" w:color="auto" w:fill="auto"/>
          </w:tcPr>
          <w:p w14:paraId="07A69482" w14:textId="77777777" w:rsidR="004F4198" w:rsidRPr="009D04EE" w:rsidRDefault="004F4198" w:rsidP="00952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умение работать в специализированном программном обеспечении, применяемом в турагентской деятельности для подбора индивидуального туристского продукта.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 xml:space="preserve">Экспертами производится оценивание </w:t>
            </w:r>
            <w:r w:rsidRPr="00DC0BAA">
              <w:rPr>
                <w:sz w:val="24"/>
                <w:szCs w:val="24"/>
              </w:rPr>
              <w:lastRenderedPageBreak/>
              <w:t>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  <w:tr w:rsidR="004F4198" w:rsidRPr="009D04EE" w14:paraId="1262BE82" w14:textId="77777777" w:rsidTr="009529FA">
        <w:tc>
          <w:tcPr>
            <w:tcW w:w="282" w:type="pct"/>
            <w:shd w:val="clear" w:color="auto" w:fill="00B050"/>
          </w:tcPr>
          <w:p w14:paraId="23E62A25" w14:textId="77777777" w:rsidR="004F4198" w:rsidRPr="00437D28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850" w:type="pct"/>
            <w:shd w:val="clear" w:color="auto" w:fill="92D050"/>
          </w:tcPr>
          <w:p w14:paraId="4FEB9406" w14:textId="77777777" w:rsidR="004F4198" w:rsidRPr="007343CE" w:rsidRDefault="004F4198" w:rsidP="009529F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43CE">
              <w:rPr>
                <w:b/>
                <w:bCs/>
                <w:sz w:val="24"/>
                <w:szCs w:val="24"/>
              </w:rPr>
              <w:t>«Специальное задание»</w:t>
            </w:r>
          </w:p>
        </w:tc>
        <w:tc>
          <w:tcPr>
            <w:tcW w:w="2868" w:type="pct"/>
            <w:shd w:val="clear" w:color="auto" w:fill="auto"/>
          </w:tcPr>
          <w:p w14:paraId="1B9A8811" w14:textId="77777777" w:rsidR="004F4198" w:rsidRPr="009D04EE" w:rsidRDefault="004F4198" w:rsidP="009529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умение работать в нестандартных и/или конфликтных ситуациях, а также ситуациях, требующих мгновенного принятия решений в соответствии со стандартами турагентской деятельности.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>Экспертами 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</w:tbl>
    <w:p w14:paraId="0DCF3C44" w14:textId="77777777" w:rsidR="004F4198" w:rsidRDefault="004F4198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255127D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F419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8083C5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F419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F419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D765E9A" w14:textId="77777777" w:rsidR="00AF3363" w:rsidRDefault="00AF3363" w:rsidP="00AF33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11805A0" w14:textId="77777777" w:rsidR="00AF3363" w:rsidRPr="008C41F7" w:rsidRDefault="00AF3363" w:rsidP="00AF33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19C9023" w14:textId="77777777" w:rsidR="00AF3363" w:rsidRPr="008C41F7" w:rsidRDefault="00AF3363" w:rsidP="00AF33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79AF5" w14:textId="77777777" w:rsidR="00AF3363" w:rsidRPr="004E3E5F" w:rsidRDefault="00AF3363" w:rsidP="00AF33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«Специфика работы туристской организации» (инвариант)</w:t>
      </w:r>
    </w:p>
    <w:p w14:paraId="19506A45" w14:textId="3DC271B8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3363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Pr="00AF33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 30 минут</w:t>
      </w:r>
    </w:p>
    <w:p w14:paraId="3D09948F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Данный модуль представляет собой демонстрацию навыков по созданию и подготовке к открытию туристской организации. Модуль состоит из трех этапов:</w:t>
      </w:r>
    </w:p>
    <w:p w14:paraId="33951455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1. Подготовка к открытию туристской организации;</w:t>
      </w:r>
    </w:p>
    <w:p w14:paraId="7939C74F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2. Разработка плана по открытию туристской организации;</w:t>
      </w:r>
    </w:p>
    <w:p w14:paraId="38A01803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3. Представление туристской организации.</w:t>
      </w:r>
    </w:p>
    <w:p w14:paraId="70C5FDBC" w14:textId="61A176BC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Первый этап – подготовка к открытию туристской организации. На усмотрение менеджера компетенции первый этап может быть заочным (заочный этап начинается не позднее, чем за 15 календарных дней до даты соревнований). При наличии заочного этапа,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заранее подготовленную легенду или ее часть, например, заданный регион, в котором будет располагаться туристская организация. Полная легенда озвучивается конкурсантам в соревновательный день. </w:t>
      </w:r>
    </w:p>
    <w:p w14:paraId="76A3FC8C" w14:textId="7A22AC4D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4120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заочный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не предусмотрен, непосредственно в соревновательный день конкурсант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заранее подготовленную легенду, согласно которой им предстоит открыть туристскую организацию. В легенде обозначаются основные критерии и условия открытия: работа под определенной маркой, направление деятельности, целевая аудитория, регион расположения и т.д. В случае, если легенда задания будет подразумевать выбор определенной марки для работы (работа под франшизой туроператора, независимой сети турагентств и т.д.), конкурсантам выдается брендированная сувенирная продукция для оформления рабочего места. Брендированная сувенирная продукция может включать информационные буклеты, каталоги, флажки, баннеры и иную печатную и/или текстильную брендированную продукцию. Командам участников необходимо расположить полученную продукцию на своем рабочем месте, обозначив границы рабочего места. Материалы располагаются на усмотрение участников и служат визуальной составляющей при работе над модулем. </w:t>
      </w:r>
    </w:p>
    <w:p w14:paraId="0C1C6C64" w14:textId="5E8197D1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втором этапе 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конкурсантам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план по созданию туристской организации с учетом легенды. Данный план составляется в свободной форме и должен включать следующие обязательные пункты:</w:t>
      </w:r>
    </w:p>
    <w:p w14:paraId="3976F09A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а) организационно-правовая форма туристской организации;</w:t>
      </w:r>
    </w:p>
    <w:p w14:paraId="22F9073C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б) организация офиса (выбор помещения, расположение офиса, наличие и тип вывески, разработка рекламных материалов, выбор схемы работы и т.д.);</w:t>
      </w:r>
    </w:p>
    <w:p w14:paraId="4697409E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в) определение круга конкурентов (в зависимости от радиуса расположения других туристских организаций вблизи офиса, направлений и специфики работы и т.д.);</w:t>
      </w:r>
    </w:p>
    <w:p w14:paraId="3396D39A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г) подбор сотрудников (количество сотрудников, опыт работы в туризме и т.д.);</w:t>
      </w:r>
    </w:p>
    <w:p w14:paraId="3C408B7E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д) предварительная оценка затрат (расходы на открытие туристской организации, определение точки безубыточности, прогноз на полгода с учетом основных особенностей работы).</w:t>
      </w:r>
    </w:p>
    <w:p w14:paraId="133444BB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План также может включать иные дополнительные данные на усмотрение участников.</w:t>
      </w:r>
    </w:p>
    <w:p w14:paraId="573D793F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План распечатывается и сдается экспертам на проверку по окончании второго этапа модуля.</w:t>
      </w:r>
    </w:p>
    <w:p w14:paraId="6C615261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модуля необходимо обязательно учитывать специфику туристской организации, которая задается легендой. </w:t>
      </w:r>
    </w:p>
    <w:p w14:paraId="6CA2540A" w14:textId="23514234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третьем этапе 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представить «созданную» туристскую организацию. Основная задача – обосновать собственный выбор при разработке плана по созданию туристской организации. Время на представление туристской организации 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каждому конкурсанту –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7 (семь) минут. В данном модуле предполагаются вопросы экспертов к участникам после окончания выступления (в течение не более 3 (трех) минут на кажд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). Вопросы могут задавать эксперты, входящие в группу оценки.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68FBF9" w14:textId="77777777" w:rsidR="00ED463E" w:rsidRPr="004E3E5F" w:rsidRDefault="00ED463E" w:rsidP="00ED463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«Аттестация» турагента» (инвариант)</w:t>
      </w:r>
    </w:p>
    <w:p w14:paraId="7C9773D1" w14:textId="0033C446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63E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Pr="00ED463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59431C80" w14:textId="63F579CE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Данный модуль направлен на проверку знаний страноведения и курортоведения, климатических, культурных и других особенностей туристических направлений; а также иных туристических формальностей. Формат вопросов представляет собой практическую проработку «кейсов» («кейс»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ситуационное задание, в рамках которого необходимо проанализировать предложенную ситуацию и найти оптимальное решение) с целью «аттестации» турагента.</w:t>
      </w:r>
    </w:p>
    <w:p w14:paraId="3C1041DD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«Аттестация» проходит в формате письменного (или онлайн) решения ситуационных задач («кейсов»), с которыми сталкивается турагент в работе. </w:t>
      </w:r>
    </w:p>
    <w:p w14:paraId="56BB9A85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«Кейсы» могут включать:</w:t>
      </w:r>
    </w:p>
    <w:p w14:paraId="7623B4FB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открытые и закрытые вопросы;</w:t>
      </w:r>
    </w:p>
    <w:p w14:paraId="52E30B20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вопросы на соответствие и последовательность;</w:t>
      </w:r>
    </w:p>
    <w:p w14:paraId="6B2EB3E6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работу с географической картой;</w:t>
      </w:r>
    </w:p>
    <w:p w14:paraId="79B86042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вопросы на внимательность.</w:t>
      </w:r>
    </w:p>
    <w:p w14:paraId="3151BEC9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Допускаются «закрытые кейсы» без вариантов ответа, когда участникам необходимо самостоятельно вписать правильный вариант решения кейса. Содержанием «кейса» являются практические знания и навыки турагента.</w:t>
      </w:r>
    </w:p>
    <w:p w14:paraId="2810F3C5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Время, предоставленное на выполнение модуля, составляет 45 минут, по 1 минуте на каждый «кейс».</w:t>
      </w:r>
    </w:p>
    <w:p w14:paraId="2D64A2BC" w14:textId="0757D8A9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времени, отведенного на модуль,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сдать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заполненный бланк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и покинуть рабочее место. Порядок подсчета баллов определяется менеджером компетенции и может осуществляется как автоматизировано, так и вручную, при этом интервалы баллов соответствуют конкретным аспектам критериев по модулю.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F86580" w14:textId="77777777" w:rsidR="009E3632" w:rsidRPr="004E3E5F" w:rsidRDefault="009E3632" w:rsidP="009E36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«Работа с клиентом в офисе турагентства» (инвариант)</w:t>
      </w:r>
    </w:p>
    <w:p w14:paraId="7B5AC4BA" w14:textId="2FFC48CB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363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6439FC9E" w14:textId="2324911D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офис туристской организации,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 конкурсанту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обращается турист, который хочет отправиться отдыхать. Модуль состоит из следующих этапов: </w:t>
      </w:r>
    </w:p>
    <w:p w14:paraId="1F9D2CB7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выявление потребностей клиента;</w:t>
      </w:r>
    </w:p>
    <w:p w14:paraId="6BC930DC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подбор тура, презентация тура;</w:t>
      </w:r>
    </w:p>
    <w:p w14:paraId="20645399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оформление договора с туристом и бронирование заявки.  </w:t>
      </w:r>
    </w:p>
    <w:p w14:paraId="43E7C8CF" w14:textId="06FDFFF8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Первый этап – выявление потребностей клиента (7 минут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каждого конкурсанта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14:paraId="2E0F77D4" w14:textId="7443C4B9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В «офис» туристской организации приходит потенциальный клиент (турист) с заранее подготовленной легендой. Легенда не оглашается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заранее. Задача на данном этапе – выявить потребности клиента и определить подходящее направление (направления), которые полностью удовлетворят запрос туриста. Общение с клиентом происходит в формате диалога. Клиенту можно задавать неограниченное количество вопросов в течение отведенного времени. В процессе общения с туристом конкурсант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жет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делать пометки. Кажд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 конкурсант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проходит беседу с туристом по очереди, у одной и той же бригады судей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ремя беседы с туристом составляет 7 (семь) минут.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74D68F" w14:textId="57AB04A4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После того, как все 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завершат первый этап, все одновременно приступают ко второму этапу. </w:t>
      </w:r>
    </w:p>
    <w:p w14:paraId="7757FDEB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Второй этап – подбор тура по запросу клиента (1,5 часа). </w:t>
      </w:r>
    </w:p>
    <w:p w14:paraId="05B515A3" w14:textId="46218073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того, как все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завершили этап выявления потребностей,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возвращаются на свои рабочие места для подбора тура по выявленным потребностям клиента. </w:t>
      </w:r>
    </w:p>
    <w:p w14:paraId="0F0BCC09" w14:textId="5237E74E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предоставляется 1,5 (полтора) часа на поиск тура по запросу клиента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оформление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письма-предложения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, а также на подготовку презентации тура для туриста.</w:t>
      </w:r>
    </w:p>
    <w:p w14:paraId="529F2320" w14:textId="7C927A42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этапе подбора тура 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подобрать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) подходящих для клиента варианта и оформить письмо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Письмо необходимо распечатать и сдать экспертам на проверку до окончания времени выполнения модуля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. В письме обязательно необходимо выделить 1 (одно) наиболее подходящее туристу предложение, которое по мнению конкурсантов в полной мере соответствует запросу клиента. Предложение должно содержать:</w:t>
      </w:r>
    </w:p>
    <w:p w14:paraId="3E1362C2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полную информацию по туру (строчка тура из поисковика туроператора или поисковой системы/агрегатора);</w:t>
      </w:r>
    </w:p>
    <w:p w14:paraId="08C0880B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полетные данные;</w:t>
      </w:r>
    </w:p>
    <w:p w14:paraId="5D2FC01F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визовые формальности;</w:t>
      </w:r>
    </w:p>
    <w:p w14:paraId="0BEA52F6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информацию о дополнительных услугах, входящих в состав тура;</w:t>
      </w:r>
    </w:p>
    <w:p w14:paraId="377D57D9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полная стоимость тура для туриста. </w:t>
      </w:r>
    </w:p>
    <w:p w14:paraId="5E9FE750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Оформление письма должно соответствовать этике деловой переписки и содержать расшифровку аббревиатур, использованных в данном письме.</w:t>
      </w:r>
    </w:p>
    <w:p w14:paraId="56B439B5" w14:textId="5F737796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этом же этапе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презентацию по туру (один приоритетный вариант), который максимально соответствует потребностям клиента. Презентация должна быть подготовлена в специализированной программе для создания презентаций. Основная задача презентации – мотивировать туриста приобрести именно предложенный командой тур. Презентация должна быть ориентирована на туриста с учетом его потребностей и пожеланий.  Презентация должна содержать обязательные пункты со следующей информацией:</w:t>
      </w:r>
    </w:p>
    <w:p w14:paraId="5B16BA48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стране и регионе пребывания;</w:t>
      </w:r>
    </w:p>
    <w:p w14:paraId="11F53AB8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транспортной логистике;</w:t>
      </w:r>
    </w:p>
    <w:p w14:paraId="07DA612A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об объекте размещения;</w:t>
      </w:r>
    </w:p>
    <w:p w14:paraId="5FCE4433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категории номера;</w:t>
      </w:r>
    </w:p>
    <w:p w14:paraId="071B3E5C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типе питания;</w:t>
      </w:r>
    </w:p>
    <w:p w14:paraId="3B33FD21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дополнительных услугах в отеле;</w:t>
      </w:r>
    </w:p>
    <w:p w14:paraId="5482AD2F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о дополнительных услугах (в том числе доступности развлечений) в непосредственной близости от отеля. </w:t>
      </w:r>
    </w:p>
    <w:p w14:paraId="343AC7E1" w14:textId="53A8141E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выступление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каждого конкурсанта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составляет 7 (семь) минут. После окончания выступления эксперты могут задать неограниченное количество вопросов в течение 3 (трех) минут.  Вопросы могут задавать эксперты, входящие в группу оценки. </w:t>
      </w:r>
    </w:p>
    <w:p w14:paraId="4E12DA7B" w14:textId="559C2213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завершения данного этапа эксперты выдают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согласие на бронирование заявки.</w:t>
      </w:r>
    </w:p>
    <w:p w14:paraId="44546F0F" w14:textId="06CEE61D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Третий этап – оформление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туристом и бронирование заявки (15 минут).</w:t>
      </w:r>
    </w:p>
    <w:p w14:paraId="76356C23" w14:textId="6862CCFF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завести заявку на тур в CRM-систему, распечатать договор с туристом и сдать экспертам на проверку.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если в рамках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данного модуля предусмотрено использование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CRM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-системы ограниченного доступа, д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оступ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такую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CRM-систему предоставляется участникам не позднее, чем за 15 календарных дней до начала соревнований для тренировки. 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59B468" w14:textId="77777777" w:rsidR="00221EEC" w:rsidRPr="004E3E5F" w:rsidRDefault="00221EEC" w:rsidP="00221EE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«Документооборот с туристом» (инвариант)</w:t>
      </w:r>
    </w:p>
    <w:p w14:paraId="036AF0B2" w14:textId="6D5E21B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EEC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Pr="00221E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8A09A42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Данный модуль является продолжением модуля В, а именно работы с клиентом в офисе туристской организации. </w:t>
      </w:r>
    </w:p>
    <w:p w14:paraId="044A954C" w14:textId="51BF6539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бронирования заявки в модуле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 получают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бланк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подтверждения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«забронированному»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туру. Данный документ необходимо внимательно проверить и в случае обнаружения ошибок сообщить о них. </w:t>
      </w:r>
    </w:p>
    <w:p w14:paraId="3C4E2461" w14:textId="777F1E8E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проверки бланка подтверждения конкурсанты получают итоговый пакет документов для вылета туриста.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Документы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необходимо внимательно проверить. </w:t>
      </w:r>
    </w:p>
    <w:p w14:paraId="1CD677AE" w14:textId="28C6E5BA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получения итогового пакета документов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подготовить презентацию по данным документам, чтобы провести инструктаж туриста перед поездкой. Основная задача конкурсантов в рамках данного модуля – предоставить туристу актуальную и необходимую информацию для поездки. Презентация не предполагает включения абстрактной информации или информации, не относящейся к предстоящей поездке туриста. </w:t>
      </w:r>
    </w:p>
    <w:p w14:paraId="6ABA0AE7" w14:textId="5B70A416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готовят презентацию в специализированной программе для создания презентаций. В презентации обязательно должны быть представлены скриншоты документов с указанием следующей информации:</w:t>
      </w:r>
    </w:p>
    <w:p w14:paraId="7E411EB3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об авиаперелете;</w:t>
      </w:r>
    </w:p>
    <w:p w14:paraId="2343B09D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трансфере;</w:t>
      </w:r>
    </w:p>
    <w:p w14:paraId="76DB4CFA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об отеле, категории номера, типе питания;</w:t>
      </w:r>
    </w:p>
    <w:p w14:paraId="5624F9C5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документах, которые потребуются туристу для поездки;</w:t>
      </w:r>
    </w:p>
    <w:p w14:paraId="638EEA95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о нюансах, которые необходимо знать туристу для совершения поездки. </w:t>
      </w:r>
    </w:p>
    <w:p w14:paraId="7CCA452B" w14:textId="7D5E55F7" w:rsidR="00221EEC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Время на презентацию пакета документов для туриста составляет 7 (семь) минут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каждого конкурсанта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. В рамках отведенного времени, турист (туристом не может быть эксперт группы оценки) может задать 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более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одного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) в процессе презентации. Общее время на вопрос не должно превышать 2 (двух) минут.</w:t>
      </w:r>
    </w:p>
    <w:p w14:paraId="006D0BF7" w14:textId="77777777" w:rsidR="00221EEC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FE4207" w14:textId="77777777" w:rsidR="00221EEC" w:rsidRPr="004E3E5F" w:rsidRDefault="00221EEC" w:rsidP="00221EE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«Организация нестандартного тура» (инвариант)</w:t>
      </w:r>
    </w:p>
    <w:p w14:paraId="1F37EBB3" w14:textId="519BA90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EEC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21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3F59EDE5" w14:textId="013D020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данном модуле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предложить клиенту вариант нестандартного тура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запросу клиента. Данный модуль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предполагает работу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специализированной онлайн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платформ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позволяюще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 подобрать нестандартный набор услуг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808490C" w14:textId="6F42F162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Специализированная онлайн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платформа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определяется менеджером компетенции.</w:t>
      </w:r>
    </w:p>
    <w:p w14:paraId="70E74FE9" w14:textId="47CC98B0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Поскольку различные специализированные системы имеют свои особенности, не позднее, чем за 15 (пятнадцать) календарных дней до начала соревнований озвучивается наименование системы/платформы, в которой будет осуществляться работа. Также не позднее, чем за 15 (пятнадцать) календарных дней до начала соревнований участникам выдается тестовый доступ для тренировки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 случае если система предполагает предварительную регистрацию.</w:t>
      </w:r>
    </w:p>
    <w:p w14:paraId="74F195E7" w14:textId="41C42562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получают по электронной почте запрос от клиента на организацию нестандартного тура. Потенциальный турист может запрашивать, к примеру, комбинированный тур, предполагающий посещение нескольких стран, различные даты вылета и возврата туристов, выезжающих в данный тур, эксклюзивный отдых, посещение необычных мест, дополнительные услуги и пр. Вопросы к клиенту на уточнение в данном модуле не предусмотрены. Вся необходимая участникам информация будет указана в письме. </w:t>
      </w:r>
    </w:p>
    <w:p w14:paraId="7310AD49" w14:textId="21A8C9AC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предлагается на специализированной онлайн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платформе, основываясь на запросе клиента, подобрать все параметры тура и сформировать для туриста предложение с подробным описанием и стоимостью «собранного» тура, которое нужно отправить в ответном письме клиенту по электронной почте.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письме участник должен проконсультировать клиента по дальнейшим действиям в случае приобретения тура, а также визовым и туристским формальностям. Детальный расчет тура распечатывается и сдается экспертам.</w:t>
      </w:r>
    </w:p>
    <w:p w14:paraId="61D4B8C9" w14:textId="77777777" w:rsidR="00221EEC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Презентация в данном модуле не предусмотрена.</w:t>
      </w:r>
    </w:p>
    <w:p w14:paraId="7478F9C4" w14:textId="77777777" w:rsidR="00F02656" w:rsidRDefault="00F02656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98EF7C" w14:textId="77777777" w:rsidR="00F02656" w:rsidRPr="004E3E5F" w:rsidRDefault="00F02656" w:rsidP="00F026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«Специальное задание» (вариатив)</w:t>
      </w:r>
    </w:p>
    <w:p w14:paraId="05282C29" w14:textId="7129BD1F" w:rsidR="00F02656" w:rsidRPr="004E3E5F" w:rsidRDefault="00F02656" w:rsidP="00F026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65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30 минут</w:t>
      </w:r>
    </w:p>
    <w:p w14:paraId="7132D8A3" w14:textId="140F3CFE" w:rsidR="00F02656" w:rsidRPr="004E3E5F" w:rsidRDefault="00F02656" w:rsidP="00F026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Данный модуль направлен на демонстрацию навыков и умений сотрудника туристской организации в нестандартных ситуациях.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получает заранее разработанный «кейс», который может потребовать решения определенной проблемы и/или реакции на определенную ситуацию. Данный модуль может предусматривать возможность конкурсантов и/или экспертов задавать вопросы. </w:t>
      </w:r>
    </w:p>
    <w:p w14:paraId="46ADEAD0" w14:textId="5F41F421" w:rsidR="00F02656" w:rsidRPr="004E3E5F" w:rsidRDefault="00F02656" w:rsidP="00F026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может подразумевать «зрелищную часть», т.е. определенную мгновенную реакцию конкурсантов на действия «туриста» и/или иного участника модуля. В случае если в модуле будет использоваться «кейс», подразумевающий «зрелищную часть», время на подготовку перед выступлением не предусматривается. </w:t>
      </w:r>
    </w:p>
    <w:p w14:paraId="4D1DCEF2" w14:textId="7B621A56" w:rsidR="00F02656" w:rsidRPr="004E3E5F" w:rsidRDefault="00F02656" w:rsidP="00F026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всех иных «кейсов», кроме «кейсов» с мгновенной реакцией, данный модуль всегда будет подразумевать этап подготовки, т.е. конкурсанты будут использовать свое рабочее место. В случае если «кейсом» задания будет предусмотрена презентационная часть, на выступление каждо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конкурсанта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ы будет отведено не более 7 (семи) минут. Количество «кейсов», используемых в данном модуле, регламентируется ГЭ по согласованию с Менеджером компетенции.</w:t>
      </w:r>
    </w:p>
    <w:p w14:paraId="797EE052" w14:textId="77777777" w:rsidR="004F30B3" w:rsidRDefault="004F30B3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</w:p>
    <w:p w14:paraId="28B6497F" w14:textId="5B9B8D0C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3" w:name="_Toc78885659"/>
      <w:bookmarkStart w:id="14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198A8941" w14:textId="23748A9B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608C0282" w14:textId="15B33928" w:rsidR="004F30B3" w:rsidRDefault="004F30B3" w:rsidP="004F30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B2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НУЛЕВОЙ</w:t>
      </w:r>
    </w:p>
    <w:p w14:paraId="1CB61AAF" w14:textId="764914C2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60"/>
      <w:bookmarkStart w:id="16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22989B5F" w14:textId="77777777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3E0ED542" w14:textId="77777777" w:rsidR="004F30B3" w:rsidRDefault="004F30B3" w:rsidP="004F30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Hlk126071043"/>
      <w:r w:rsidRPr="009047B2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Персональные средства связи (мобильные телефоны, планшеты, ноутбуки, смарт-часы и иные средства)</w:t>
      </w:r>
      <w:bookmarkEnd w:id="17"/>
    </w:p>
    <w:p w14:paraId="538D3EE9" w14:textId="7E8B38CC" w:rsidR="00E15F2A" w:rsidRPr="004F30B3" w:rsidRDefault="00E15F2A" w:rsidP="004F30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77600727" w14:textId="77445E03" w:rsidR="004F30B3" w:rsidRDefault="004F30B3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План застройки</w:t>
      </w:r>
    </w:p>
    <w:p w14:paraId="1F6A2793" w14:textId="4C3E848B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B4D8A" w14:textId="77777777" w:rsidR="005422F3" w:rsidRDefault="005422F3" w:rsidP="00970F49">
      <w:pPr>
        <w:spacing w:after="0" w:line="240" w:lineRule="auto"/>
      </w:pPr>
      <w:r>
        <w:separator/>
      </w:r>
    </w:p>
  </w:endnote>
  <w:endnote w:type="continuationSeparator" w:id="0">
    <w:p w14:paraId="0BF5CE9F" w14:textId="77777777" w:rsidR="005422F3" w:rsidRDefault="005422F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69213" w14:textId="77777777" w:rsidR="005422F3" w:rsidRDefault="005422F3" w:rsidP="00970F49">
      <w:pPr>
        <w:spacing w:after="0" w:line="240" w:lineRule="auto"/>
      </w:pPr>
      <w:r>
        <w:separator/>
      </w:r>
    </w:p>
  </w:footnote>
  <w:footnote w:type="continuationSeparator" w:id="0">
    <w:p w14:paraId="713AE8BA" w14:textId="77777777" w:rsidR="005422F3" w:rsidRDefault="005422F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7705B"/>
    <w:multiLevelType w:val="hybridMultilevel"/>
    <w:tmpl w:val="4FC4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04CD"/>
    <w:multiLevelType w:val="hybridMultilevel"/>
    <w:tmpl w:val="2686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2D55FE"/>
    <w:multiLevelType w:val="hybridMultilevel"/>
    <w:tmpl w:val="91DC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8FB4457"/>
    <w:multiLevelType w:val="hybridMultilevel"/>
    <w:tmpl w:val="2534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2CCF"/>
    <w:multiLevelType w:val="hybridMultilevel"/>
    <w:tmpl w:val="58EE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A5E2B"/>
    <w:multiLevelType w:val="hybridMultilevel"/>
    <w:tmpl w:val="A7FE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6D063F"/>
    <w:multiLevelType w:val="hybridMultilevel"/>
    <w:tmpl w:val="8C36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C1D48"/>
    <w:multiLevelType w:val="hybridMultilevel"/>
    <w:tmpl w:val="1426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91A1B"/>
    <w:multiLevelType w:val="hybridMultilevel"/>
    <w:tmpl w:val="6FAE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0004E"/>
    <w:multiLevelType w:val="hybridMultilevel"/>
    <w:tmpl w:val="D0E2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81865">
    <w:abstractNumId w:val="20"/>
  </w:num>
  <w:num w:numId="2" w16cid:durableId="334309438">
    <w:abstractNumId w:val="10"/>
  </w:num>
  <w:num w:numId="3" w16cid:durableId="1473323623">
    <w:abstractNumId w:val="8"/>
  </w:num>
  <w:num w:numId="4" w16cid:durableId="2143115885">
    <w:abstractNumId w:val="3"/>
  </w:num>
  <w:num w:numId="5" w16cid:durableId="1927762247">
    <w:abstractNumId w:val="0"/>
  </w:num>
  <w:num w:numId="6" w16cid:durableId="2097092042">
    <w:abstractNumId w:val="11"/>
  </w:num>
  <w:num w:numId="7" w16cid:durableId="1629894542">
    <w:abstractNumId w:val="4"/>
  </w:num>
  <w:num w:numId="8" w16cid:durableId="624435558">
    <w:abstractNumId w:val="7"/>
  </w:num>
  <w:num w:numId="9" w16cid:durableId="1057247042">
    <w:abstractNumId w:val="26"/>
  </w:num>
  <w:num w:numId="10" w16cid:durableId="2076008736">
    <w:abstractNumId w:val="9"/>
  </w:num>
  <w:num w:numId="11" w16cid:durableId="682248164">
    <w:abstractNumId w:val="5"/>
  </w:num>
  <w:num w:numId="12" w16cid:durableId="1485970002">
    <w:abstractNumId w:val="13"/>
  </w:num>
  <w:num w:numId="13" w16cid:durableId="1143887295">
    <w:abstractNumId w:val="29"/>
  </w:num>
  <w:num w:numId="14" w16cid:durableId="592201009">
    <w:abstractNumId w:val="14"/>
  </w:num>
  <w:num w:numId="15" w16cid:durableId="134106418">
    <w:abstractNumId w:val="27"/>
  </w:num>
  <w:num w:numId="16" w16cid:durableId="1426533708">
    <w:abstractNumId w:val="31"/>
  </w:num>
  <w:num w:numId="17" w16cid:durableId="383334201">
    <w:abstractNumId w:val="28"/>
  </w:num>
  <w:num w:numId="18" w16cid:durableId="1540823564">
    <w:abstractNumId w:val="24"/>
  </w:num>
  <w:num w:numId="19" w16cid:durableId="11688099">
    <w:abstractNumId w:val="17"/>
  </w:num>
  <w:num w:numId="20" w16cid:durableId="878055857">
    <w:abstractNumId w:val="21"/>
  </w:num>
  <w:num w:numId="21" w16cid:durableId="846987343">
    <w:abstractNumId w:val="15"/>
  </w:num>
  <w:num w:numId="22" w16cid:durableId="1174686196">
    <w:abstractNumId w:val="6"/>
  </w:num>
  <w:num w:numId="23" w16cid:durableId="730082697">
    <w:abstractNumId w:val="22"/>
  </w:num>
  <w:num w:numId="24" w16cid:durableId="2110347615">
    <w:abstractNumId w:val="32"/>
  </w:num>
  <w:num w:numId="25" w16cid:durableId="2138181407">
    <w:abstractNumId w:val="1"/>
  </w:num>
  <w:num w:numId="26" w16cid:durableId="398670373">
    <w:abstractNumId w:val="30"/>
  </w:num>
  <w:num w:numId="27" w16cid:durableId="2146728703">
    <w:abstractNumId w:val="12"/>
  </w:num>
  <w:num w:numId="28" w16cid:durableId="1653099589">
    <w:abstractNumId w:val="18"/>
  </w:num>
  <w:num w:numId="29" w16cid:durableId="1199661127">
    <w:abstractNumId w:val="2"/>
  </w:num>
  <w:num w:numId="30" w16cid:durableId="1506047444">
    <w:abstractNumId w:val="16"/>
  </w:num>
  <w:num w:numId="31" w16cid:durableId="1969318864">
    <w:abstractNumId w:val="25"/>
  </w:num>
  <w:num w:numId="32" w16cid:durableId="2119598051">
    <w:abstractNumId w:val="23"/>
  </w:num>
  <w:num w:numId="33" w16cid:durableId="176687901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306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A4FB7"/>
    <w:rsid w:val="001B4B65"/>
    <w:rsid w:val="001C1282"/>
    <w:rsid w:val="001C63E7"/>
    <w:rsid w:val="001E1DF9"/>
    <w:rsid w:val="00220E70"/>
    <w:rsid w:val="00221EEC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53C74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4120"/>
    <w:rsid w:val="004E785E"/>
    <w:rsid w:val="004E7905"/>
    <w:rsid w:val="004F30B3"/>
    <w:rsid w:val="004F4198"/>
    <w:rsid w:val="005055FF"/>
    <w:rsid w:val="00510059"/>
    <w:rsid w:val="005422F3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2054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632"/>
    <w:rsid w:val="009E37D3"/>
    <w:rsid w:val="009E52E7"/>
    <w:rsid w:val="009E5BD9"/>
    <w:rsid w:val="009F57C0"/>
    <w:rsid w:val="00A0510D"/>
    <w:rsid w:val="00A11569"/>
    <w:rsid w:val="00A204BB"/>
    <w:rsid w:val="00A20A67"/>
    <w:rsid w:val="00A25F9E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3363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391D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463E"/>
    <w:rsid w:val="00ED53C9"/>
    <w:rsid w:val="00EE197A"/>
    <w:rsid w:val="00EE7DA3"/>
    <w:rsid w:val="00F02656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4423</Words>
  <Characters>25216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Мария Кислова</cp:lastModifiedBy>
  <cp:revision>10</cp:revision>
  <dcterms:created xsi:type="dcterms:W3CDTF">2024-11-18T12:46:00Z</dcterms:created>
  <dcterms:modified xsi:type="dcterms:W3CDTF">2024-11-18T13:26:00Z</dcterms:modified>
</cp:coreProperties>
</file>