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8B3580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20FBF" w:rsidRPr="00D753C4">
            <w:rPr>
              <w:rFonts w:ascii="Times New Roman" w:eastAsia="Arial Unicode MS" w:hAnsi="Times New Roman" w:cs="Times New Roman"/>
              <w:sz w:val="56"/>
              <w:szCs w:val="56"/>
            </w:rPr>
            <w:t>БЕТОННЫЕ СТРОИТЕЛЬНЫЕ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CB00F30" w:rsidR="00D83E4E" w:rsidRPr="00D83E4E" w:rsidRDefault="00200BD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1E7E0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7D975935" w14:textId="07C379DD" w:rsidR="00334165" w:rsidRPr="00A204BB" w:rsidRDefault="0017227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C29DCA6" w:rsidR="009B18A2" w:rsidRDefault="00200BD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D6B9C19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1E7E04">
          <w:rPr>
            <w:rStyle w:val="ae"/>
            <w:noProof/>
            <w:sz w:val="24"/>
            <w:szCs w:val="24"/>
          </w:rPr>
          <w:t>Бетонные строительные работы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1722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1722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1722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E94068" w14:textId="77777777" w:rsidR="00B20FBF" w:rsidRPr="00402087" w:rsidRDefault="00B20FBF" w:rsidP="00B20FB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  <w:r w:rsidRPr="00402087">
        <w:rPr>
          <w:rFonts w:ascii="Times New Roman" w:hAnsi="Times New Roman"/>
          <w:b/>
          <w:bCs/>
          <w:sz w:val="24"/>
          <w:lang w:val="ru-RU" w:eastAsia="ru-RU"/>
        </w:rPr>
        <w:t>ИСПОЛЬЗУЕМЫЕ СОКРАЩЕНИЯ</w:t>
      </w:r>
    </w:p>
    <w:p w14:paraId="24589266" w14:textId="77777777" w:rsidR="00B20FBF" w:rsidRPr="00402087" w:rsidRDefault="00B20FBF" w:rsidP="00B20FB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</w:p>
    <w:p w14:paraId="74F52ADE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C7A825A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02E7B2B5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0DBF6E8C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0400AB76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28BE73A2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D66D64F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5D3860FA" w14:textId="77777777" w:rsidR="00B20FBF" w:rsidRPr="00D177C5" w:rsidRDefault="00B20FBF" w:rsidP="00B20FBF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177C5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0A2B5AE" w14:textId="77777777" w:rsidR="00B20FBF" w:rsidRPr="00402087" w:rsidRDefault="00B20FBF" w:rsidP="00B20FBF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4"/>
        </w:rPr>
      </w:pPr>
      <w:bookmarkStart w:id="1" w:name="_Toc124422965"/>
      <w:r w:rsidRPr="00402087">
        <w:rPr>
          <w:rFonts w:ascii="Times New Roman" w:hAnsi="Times New Roman"/>
          <w:color w:val="auto"/>
          <w:sz w:val="24"/>
        </w:rPr>
        <w:lastRenderedPageBreak/>
        <w:t>1. ОСНОВНЫЕ ТРЕБОВАНИЯ КОМПЕТЕНЦИИ</w:t>
      </w:r>
      <w:bookmarkEnd w:id="1"/>
    </w:p>
    <w:p w14:paraId="5D20C161" w14:textId="77777777" w:rsidR="00B20FBF" w:rsidRPr="00402087" w:rsidRDefault="00B20FBF" w:rsidP="00B20FB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 w:rsidRPr="00402087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4CA79907" w14:textId="77777777" w:rsidR="00B20FBF" w:rsidRPr="00D177C5" w:rsidRDefault="00B20FBF" w:rsidP="00B20F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5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«Бетонные строительные работы» </w:t>
      </w:r>
      <w:bookmarkStart w:id="3" w:name="_Hlk123050441"/>
      <w:r w:rsidRPr="00D177C5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D177C5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A685DF" w14:textId="77777777" w:rsidR="00B20FBF" w:rsidRPr="00D177C5" w:rsidRDefault="00B20FBF" w:rsidP="00B20F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5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36A9E2C" w14:textId="77777777" w:rsidR="00B20FBF" w:rsidRPr="00D177C5" w:rsidRDefault="00B20FBF" w:rsidP="00B20F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C42AF82" w14:textId="77777777" w:rsidR="00B20FBF" w:rsidRPr="00D177C5" w:rsidRDefault="00B20FBF" w:rsidP="00B20F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55410E7" w14:textId="77777777" w:rsidR="00B20FBF" w:rsidRPr="00D177C5" w:rsidRDefault="00B20FBF" w:rsidP="00B20F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C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3C71817F" w:rsidR="000244DA" w:rsidRPr="00D83E4E" w:rsidRDefault="00270E01" w:rsidP="00B20FBF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B20FBF">
        <w:rPr>
          <w:rFonts w:ascii="Times New Roman" w:hAnsi="Times New Roman"/>
          <w:color w:val="000000"/>
          <w:sz w:val="24"/>
        </w:rPr>
        <w:t>БЕТОННЫЕ СТРОИТЕЛЬНЫЙ РАБОТЫ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373D857" w14:textId="77777777" w:rsidR="00B20FBF" w:rsidRPr="00402087" w:rsidRDefault="00B20FBF" w:rsidP="00B20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7E3F542C" w14:textId="77777777" w:rsidR="00B20FBF" w:rsidRPr="00402087" w:rsidRDefault="00B20FBF" w:rsidP="00B20F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4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7584"/>
        <w:gridCol w:w="1420"/>
      </w:tblGrid>
      <w:tr w:rsidR="00B20FBF" w:rsidRPr="00402087" w14:paraId="726DA3DD" w14:textId="77777777" w:rsidTr="00782114">
        <w:tc>
          <w:tcPr>
            <w:tcW w:w="328" w:type="pct"/>
            <w:shd w:val="clear" w:color="auto" w:fill="92D050"/>
            <w:vAlign w:val="center"/>
          </w:tcPr>
          <w:p w14:paraId="5E8D22A1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5" w:type="pct"/>
            <w:shd w:val="clear" w:color="auto" w:fill="92D050"/>
            <w:vAlign w:val="center"/>
          </w:tcPr>
          <w:p w14:paraId="6776640F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0208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7" w:type="pct"/>
            <w:shd w:val="clear" w:color="auto" w:fill="92D050"/>
            <w:vAlign w:val="center"/>
          </w:tcPr>
          <w:p w14:paraId="43E99107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20FBF" w:rsidRPr="00402087" w14:paraId="7E1ED889" w14:textId="77777777" w:rsidTr="00782114">
        <w:tc>
          <w:tcPr>
            <w:tcW w:w="328" w:type="pct"/>
            <w:vMerge w:val="restart"/>
            <w:shd w:val="clear" w:color="auto" w:fill="BFBFBF" w:themeFill="background1" w:themeFillShade="BF"/>
            <w:vAlign w:val="center"/>
          </w:tcPr>
          <w:p w14:paraId="73344BD2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pct"/>
            <w:shd w:val="clear" w:color="auto" w:fill="auto"/>
            <w:vAlign w:val="center"/>
          </w:tcPr>
          <w:p w14:paraId="384D9EE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Изготовление, сборка и установка арматурных элементов железобетонных конструкций при строительстве, расширении, реконструкции, капитальном ремонте здании и сооружении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4D658F1" w14:textId="5BF14B0A" w:rsidR="00B20FBF" w:rsidRPr="00402087" w:rsidRDefault="00932BF8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20FBF" w:rsidRPr="00402087" w14:paraId="12B986AD" w14:textId="77777777" w:rsidTr="00782114">
        <w:tc>
          <w:tcPr>
            <w:tcW w:w="328" w:type="pct"/>
            <w:vMerge/>
            <w:shd w:val="clear" w:color="auto" w:fill="BFBFBF" w:themeFill="background1" w:themeFillShade="BF"/>
            <w:vAlign w:val="center"/>
          </w:tcPr>
          <w:p w14:paraId="0065E873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pct"/>
            <w:shd w:val="clear" w:color="auto" w:fill="auto"/>
            <w:vAlign w:val="center"/>
          </w:tcPr>
          <w:p w14:paraId="60932DCF" w14:textId="77777777" w:rsidR="00B20FBF" w:rsidRPr="00402087" w:rsidRDefault="00B20FBF" w:rsidP="00782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515A9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и свойства материалов для производства арматурных работ</w:t>
            </w:r>
          </w:p>
          <w:p w14:paraId="110CDC13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и назначение инструмента, оборудования для производства арматурных работ, требования охраны труда при работе с ним</w:t>
            </w:r>
          </w:p>
          <w:p w14:paraId="3563857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Устройство ручных, электромеханических и электрических станков для заготовки арматуры</w:t>
            </w:r>
          </w:p>
          <w:p w14:paraId="4604FC47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Маркировка арматурных изделий</w:t>
            </w:r>
          </w:p>
          <w:p w14:paraId="484F10E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заготовки арматуры</w:t>
            </w:r>
          </w:p>
          <w:p w14:paraId="1C4830F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чтения рабочих чертежей</w:t>
            </w:r>
          </w:p>
          <w:p w14:paraId="188BD677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при изготовлении и монтаже арматуры и армоконструкций</w:t>
            </w:r>
          </w:p>
          <w:p w14:paraId="47AF5F6F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технической документации, предъявляемые к выставленной опалубке и установленным в ней армоконструкциям</w:t>
            </w:r>
          </w:p>
          <w:p w14:paraId="2DECF4C0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 при нахождении на строительной площадке; пожарной безопасности, электробезопасности и безопасности при ведении арматурных работ</w:t>
            </w:r>
          </w:p>
          <w:p w14:paraId="767631E7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сигнализации при монтаже арматурных конструкций</w:t>
            </w:r>
          </w:p>
          <w:p w14:paraId="2F65680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производственной санитарии и гигиены труда при выполнении арматурных работ</w:t>
            </w:r>
          </w:p>
          <w:p w14:paraId="60557B62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пострадавшему при несчастном случае на производстве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A6B5570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BF" w:rsidRPr="00402087" w14:paraId="1A73ED33" w14:textId="77777777" w:rsidTr="00782114">
        <w:tc>
          <w:tcPr>
            <w:tcW w:w="328" w:type="pct"/>
            <w:vMerge/>
            <w:shd w:val="clear" w:color="auto" w:fill="BFBFBF" w:themeFill="background1" w:themeFillShade="BF"/>
            <w:vAlign w:val="center"/>
          </w:tcPr>
          <w:p w14:paraId="72705E48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pct"/>
            <w:shd w:val="clear" w:color="auto" w:fill="auto"/>
            <w:vAlign w:val="center"/>
          </w:tcPr>
          <w:p w14:paraId="5BDDDC47" w14:textId="77777777" w:rsidR="00B20FBF" w:rsidRPr="00402087" w:rsidRDefault="00B20FBF" w:rsidP="00782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9586DD3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для производства арматурных работ в соответствии с требованиями норм охраны труда</w:t>
            </w:r>
          </w:p>
          <w:p w14:paraId="007A3649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Подбирать инструменты, оборудование и материалы, необходимые для выполнения заданий по изготовлению и монтажу простых армоконструкций</w:t>
            </w:r>
          </w:p>
          <w:p w14:paraId="6B8140F2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Читать рабочие чертежи и составлять эскизы и спецификации изготавливаемых арматурных изделий</w:t>
            </w:r>
          </w:p>
          <w:p w14:paraId="58A5671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Определять класс и характеристики арматуры по ее маркировке</w:t>
            </w:r>
          </w:p>
          <w:p w14:paraId="5C71E22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Рассчитывать количество материала для выполнения простых арматурных работ</w:t>
            </w:r>
          </w:p>
          <w:p w14:paraId="17FE06D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Перемещать арматуру в пределах рабочего места</w:t>
            </w:r>
          </w:p>
          <w:p w14:paraId="0758B4E2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станков, очищать станки перед началом и по завершении выполнения работ по резке арматуры</w:t>
            </w:r>
          </w:p>
          <w:p w14:paraId="711FE89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Резать арматурную сталь на ручных и приводных станках</w:t>
            </w:r>
          </w:p>
          <w:p w14:paraId="702BB6CF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Определять шаг арматурных стержней в конструкции, их диаметр, размеры, контролировать выпуски арматуры из бетона с помощью контрольно-измерительных инструментов</w:t>
            </w:r>
          </w:p>
          <w:p w14:paraId="5811131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закладных элементов и дополнительного армирования</w:t>
            </w:r>
          </w:p>
          <w:p w14:paraId="2215545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Определять величину защитного слоя бетона в железобетонных конструкциях</w:t>
            </w:r>
          </w:p>
          <w:p w14:paraId="2752177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Определять готовность опалубки к выполнению арматурных работ</w:t>
            </w:r>
          </w:p>
          <w:p w14:paraId="135A824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Выполнять разделку арматурных выпусков</w:t>
            </w:r>
          </w:p>
          <w:p w14:paraId="1245908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 при нахождении на строительной площадке; пожарной безопасности, электробезопасности и безопасности при ведении арматурных работ</w:t>
            </w:r>
          </w:p>
          <w:p w14:paraId="11C73D2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Соблюдать правила и требования производственной санитарии и гигиены труда, применять средства индивидуальной защиты при выполнении арматурных работ</w:t>
            </w:r>
          </w:p>
          <w:p w14:paraId="2380CE8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 при несчастном случае на производстве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F805CC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BF" w:rsidRPr="00402087" w14:paraId="5E0FA205" w14:textId="77777777" w:rsidTr="00782114">
        <w:trPr>
          <w:trHeight w:val="1515"/>
        </w:trPr>
        <w:tc>
          <w:tcPr>
            <w:tcW w:w="32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F8C20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9639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комплекса работ по монтажу и демонтажу опалубочных систем при строительстве, расширении, реконструкции, капитальном ремонте, реставрации и восстановлении зданий и сооружений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C015" w14:textId="69B36B15" w:rsidR="00B20FBF" w:rsidRPr="00402087" w:rsidRDefault="00932BF8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B20FBF" w:rsidRPr="00402087" w14:paraId="7755CC27" w14:textId="77777777" w:rsidTr="00782114">
        <w:trPr>
          <w:trHeight w:val="425"/>
        </w:trPr>
        <w:tc>
          <w:tcPr>
            <w:tcW w:w="328" w:type="pct"/>
            <w:vMerge w:val="restart"/>
            <w:shd w:val="clear" w:color="auto" w:fill="BFBFBF" w:themeFill="background1" w:themeFillShade="BF"/>
            <w:vAlign w:val="center"/>
          </w:tcPr>
          <w:p w14:paraId="18C78318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EB10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9D2994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основного инструмента и приспособлений для вспомогательных работ при монтаже и демонтаже опалубочных систем для конструкций прямолинейного очертания</w:t>
            </w:r>
          </w:p>
          <w:p w14:paraId="7F4E47A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Маркировка элементов опалубочных систем</w:t>
            </w:r>
          </w:p>
          <w:p w14:paraId="791FA0D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смазок для накатов и опалубки</w:t>
            </w:r>
          </w:p>
          <w:p w14:paraId="4D6B3E5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демонтажа опалубки конструкций прямолинейного очертания</w:t>
            </w:r>
          </w:p>
          <w:p w14:paraId="2643536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 при выполнении опалубочных работ</w:t>
            </w:r>
          </w:p>
          <w:p w14:paraId="7FE3F21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производственной санитарии и гигиены труда</w:t>
            </w:r>
          </w:p>
          <w:p w14:paraId="66CBE58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безопасности, электробезопасности при нахождении на строительной площадке и ведении опалубочных работ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3F4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BF" w:rsidRPr="00402087" w14:paraId="656D4259" w14:textId="77777777" w:rsidTr="00782114">
        <w:trPr>
          <w:trHeight w:val="426"/>
        </w:trPr>
        <w:tc>
          <w:tcPr>
            <w:tcW w:w="328" w:type="pct"/>
            <w:vMerge/>
            <w:shd w:val="clear" w:color="auto" w:fill="BFBFBF" w:themeFill="background1" w:themeFillShade="BF"/>
            <w:vAlign w:val="center"/>
          </w:tcPr>
          <w:p w14:paraId="3185DEF1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6973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8A5219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Выбирать ручной и механизированный инструмент по назначению и в соответствии с видом работ</w:t>
            </w:r>
          </w:p>
          <w:p w14:paraId="1207095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  <w:p w14:paraId="32FEBDE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Смазывать накаты и опалубку</w:t>
            </w:r>
          </w:p>
          <w:p w14:paraId="71C90D1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Очищать опалубку от бетона и раствора</w:t>
            </w:r>
          </w:p>
          <w:p w14:paraId="4907AC4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Последовательно демонтировать опалубку конструкций прямолинейного очертания на отдельные элементы</w:t>
            </w:r>
          </w:p>
          <w:p w14:paraId="46681A5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охраны, труда пожарной безопасности, электробезопасности при нахождении на строительной площадке и ведении опалубочных работ</w:t>
            </w:r>
          </w:p>
          <w:p w14:paraId="22C78EE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производственной санитарии и гигиены труда, грамотно применять средства индивидуальной защиты</w:t>
            </w:r>
          </w:p>
          <w:p w14:paraId="5CC284E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 при несчастном случае на производстве</w:t>
            </w:r>
          </w:p>
        </w:tc>
        <w:tc>
          <w:tcPr>
            <w:tcW w:w="73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10F8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BF" w:rsidRPr="00402087" w14:paraId="169F75C8" w14:textId="77777777" w:rsidTr="00782114">
        <w:trPr>
          <w:trHeight w:val="1239"/>
        </w:trPr>
        <w:tc>
          <w:tcPr>
            <w:tcW w:w="328" w:type="pct"/>
            <w:shd w:val="clear" w:color="auto" w:fill="BFBFBF" w:themeFill="background1" w:themeFillShade="BF"/>
            <w:vAlign w:val="center"/>
          </w:tcPr>
          <w:p w14:paraId="2B9732CA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3CC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Изготовление, сборка, установка, ремонт и реставрация деревянных конструкций в промышленности</w:t>
            </w:r>
          </w:p>
        </w:tc>
        <w:tc>
          <w:tcPr>
            <w:tcW w:w="7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6DA" w14:textId="0E169CAA" w:rsidR="00B20FBF" w:rsidRPr="00402087" w:rsidRDefault="00512201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 w:rsidR="00B20FBF" w:rsidRPr="004020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0FBF" w:rsidRPr="00402087" w14:paraId="1FE4C2A3" w14:textId="77777777" w:rsidTr="00782114">
        <w:trPr>
          <w:trHeight w:val="350"/>
        </w:trPr>
        <w:tc>
          <w:tcPr>
            <w:tcW w:w="328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6300D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5DF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знать и понимать: </w:t>
            </w:r>
          </w:p>
          <w:p w14:paraId="03083862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планировке и оснащению рабочего места плотника</w:t>
            </w:r>
          </w:p>
          <w:p w14:paraId="6D67C50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Основные опасные и вредные производственные факторы, влияющие на работника</w:t>
            </w:r>
          </w:p>
          <w:p w14:paraId="40FF0EB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14:paraId="13E54E0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Методы оказания первой помощи пострадавшим</w:t>
            </w:r>
          </w:p>
          <w:p w14:paraId="5EEFA64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Особенности плотничных работ в зимних условиях и требования охраны труда при их выполнении</w:t>
            </w:r>
          </w:p>
          <w:p w14:paraId="2AC9F68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применяемых лесоматериалов и свойства древесины</w:t>
            </w:r>
          </w:p>
          <w:p w14:paraId="2103C75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Породы древесины, применяемые в деревообрабатывающем производстве и в плотничных работах</w:t>
            </w:r>
          </w:p>
          <w:p w14:paraId="2902A80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Влажность древесины, способы ее определения</w:t>
            </w:r>
          </w:p>
          <w:p w14:paraId="65F4C51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и состав смазок для накатов</w:t>
            </w:r>
          </w:p>
          <w:p w14:paraId="7A3A1E87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рулонных и штучных кровельных материалов</w:t>
            </w:r>
          </w:p>
          <w:p w14:paraId="22B2281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технической документации на выполнение плотничных работ</w:t>
            </w:r>
          </w:p>
          <w:p w14:paraId="27B7D3F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в строительных чертежах</w:t>
            </w:r>
          </w:p>
          <w:p w14:paraId="524A8E2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для конопатки стен, оконных и дверных проемов</w:t>
            </w:r>
          </w:p>
          <w:p w14:paraId="113B701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устройстве и сборке деревянных изделий и их элементов</w:t>
            </w:r>
          </w:p>
          <w:p w14:paraId="3046FB1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плотничных и кровельных работ на крыше</w:t>
            </w:r>
          </w:p>
          <w:p w14:paraId="2E1C778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производство и приемку плотничных работ при проведении строительных работ и основные требования к ним</w:t>
            </w:r>
          </w:p>
          <w:p w14:paraId="15234B45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выполнения плотничных работ при устройстве рулонных кровель насухо с прошивкой гвоздями</w:t>
            </w:r>
          </w:p>
          <w:p w14:paraId="060B50E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и правила гвоздевых соединений, применяемых в плотничных работах</w:t>
            </w:r>
          </w:p>
          <w:p w14:paraId="7B2ADE7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соединений: сварные, клепаные, болтовые, резьбовые, клеевые</w:t>
            </w:r>
          </w:p>
          <w:p w14:paraId="36A6734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Способы выполнения безврубных соединений на шпонах, гвоздях, нагелях и болтах, на клею</w:t>
            </w:r>
          </w:p>
          <w:p w14:paraId="2AA1F743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Порядок и правила склеивания, способы запрессовки деталей</w:t>
            </w:r>
          </w:p>
          <w:p w14:paraId="2297983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Режим выдержки склеенных элементов после склеивания</w:t>
            </w:r>
          </w:p>
          <w:p w14:paraId="2CB72569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антисептиков</w:t>
            </w:r>
          </w:p>
          <w:p w14:paraId="0923062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антисептическими и огнезащитными составами</w:t>
            </w:r>
          </w:p>
          <w:p w14:paraId="1FB024A5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осмолки, обивки войлоком и толем элементов деревянных конструкций</w:t>
            </w:r>
          </w:p>
          <w:p w14:paraId="437A87F0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Смолы и клеи, применяемые в производстве плотничных работ</w:t>
            </w:r>
          </w:p>
          <w:p w14:paraId="4EBDCC4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перемещения и складирования грузов малой массы</w:t>
            </w:r>
          </w:p>
          <w:p w14:paraId="6253255F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инструментами, механизмами и приспособлениями</w:t>
            </w:r>
          </w:p>
          <w:p w14:paraId="2ACD9C55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хранения и защиты строительных материалов от неблагоприятных факторов среды</w:t>
            </w:r>
          </w:p>
          <w:p w14:paraId="2CF3352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Приемы покрытия антисептическими и огнезащитными составами деревянных деталей и конструкций с помощью кистей</w:t>
            </w:r>
          </w:p>
          <w:p w14:paraId="094B15E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Способы грубой обработки лесоматериалов</w:t>
            </w:r>
          </w:p>
          <w:p w14:paraId="2094E923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разметки материалов при пилении</w:t>
            </w:r>
          </w:p>
          <w:p w14:paraId="0BC0947F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и приемы пиления</w:t>
            </w:r>
          </w:p>
          <w:p w14:paraId="760D8920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ручных пил</w:t>
            </w:r>
          </w:p>
          <w:p w14:paraId="00528B49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разводки и точки ручных пил</w:t>
            </w:r>
          </w:p>
          <w:p w14:paraId="79B6305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Виды долот и стамесок, правила и приемы их точки</w:t>
            </w:r>
          </w:p>
          <w:p w14:paraId="5D690B4A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и приемы долбления сквозных и несквозных отверстий в деталях долотами и стамесками</w:t>
            </w:r>
          </w:p>
          <w:p w14:paraId="21E2F90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Способы и правила конопатки стен, оконных и дверных проемов</w:t>
            </w:r>
          </w:p>
          <w:p w14:paraId="1B77CDD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Способы разборки простых деревянных конструкций и их очистки</w:t>
            </w:r>
          </w:p>
          <w:p w14:paraId="5E20A492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Способы разборки простых кровельных покрытий из рулонных и штучных материалов</w:t>
            </w:r>
          </w:p>
          <w:p w14:paraId="25564B5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Способы укладки, крепления и примыкания штучных кровельных материалов при устройстве кровель</w:t>
            </w:r>
          </w:p>
          <w:p w14:paraId="7A95C57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к месту производства работ на высоте</w:t>
            </w:r>
          </w:p>
          <w:p w14:paraId="5EC627A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транспортировке, складированию и хранению круглых, пиленых лесоматериалов и изделий из древесины</w:t>
            </w:r>
          </w:p>
          <w:p w14:paraId="72ECD49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Правила перемещения грузов массой до 500 кг и эксплуатации специальных транспортных и грузовых средств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570CB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BF" w:rsidRPr="00402087" w14:paraId="5F122EC3" w14:textId="77777777" w:rsidTr="00782114">
        <w:trPr>
          <w:trHeight w:val="342"/>
        </w:trPr>
        <w:tc>
          <w:tcPr>
            <w:tcW w:w="328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BA51C" w14:textId="77777777" w:rsidR="00B20FBF" w:rsidRPr="00402087" w:rsidRDefault="00B20FBF" w:rsidP="007821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EF00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уметь: </w:t>
            </w:r>
          </w:p>
          <w:p w14:paraId="08E2A5F3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плотника</w:t>
            </w:r>
          </w:p>
          <w:p w14:paraId="7A0511A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Пользоваться ручным инструментом при поперечном перепиливании, окорке и обтесывании лесоматериалов вручную</w:t>
            </w:r>
          </w:p>
          <w:p w14:paraId="2F83EEB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Выполнять плотничные работы по устройству кровель насухо с прошивкой гвоздями</w:t>
            </w:r>
          </w:p>
          <w:p w14:paraId="736AC138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Выполнять разборку простых деревянных конструкций (заборных стенок, заборов, мостиков, настилов, полов, подборов и накатов)</w:t>
            </w:r>
          </w:p>
          <w:p w14:paraId="61836526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Защищать элементы деревянных конструкций посредством осмолки, обивки войлоком и толем</w:t>
            </w:r>
          </w:p>
          <w:p w14:paraId="08CC3A8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 наносить кистью антисептические и огнезащитные составы на деревянные конструкции и детали в соответствии с рабочей инструкцией</w:t>
            </w:r>
          </w:p>
          <w:p w14:paraId="1DEEDB3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используемых в работе материалов</w:t>
            </w:r>
          </w:p>
          <w:p w14:paraId="6F5D667C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Сортировать штучные кровельные материалы в соответствии с технологическими требованиями</w:t>
            </w:r>
          </w:p>
          <w:p w14:paraId="6D318D25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выполненных плотничных работ требованиям технической документации</w:t>
            </w:r>
          </w:p>
          <w:p w14:paraId="2100A613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Пользоваться предохранительным поясом с закреплением его за элементы конструкций или страховочным канатом при выполнении работ с приставных лестниц на высоте более 1,3 м, а также на поверхностях с уклоном 20° и более</w:t>
            </w:r>
          </w:p>
          <w:p w14:paraId="30EFF474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Применять лесоматериалы в соответствии с их свойствами</w:t>
            </w:r>
          </w:p>
          <w:p w14:paraId="0081DFE9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Производить демонтаж простых кровельных покрытий из рулонных и штучных материалов</w:t>
            </w:r>
          </w:p>
          <w:p w14:paraId="117791FD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Равномерно заполнять щели стен и оконных проемов волокнистыми натуральными и специальными материалами в соответствии с требованиями технологической документации</w:t>
            </w:r>
          </w:p>
          <w:p w14:paraId="33284E0F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Удалять посыпку с рулонных кровельных материалов с использованием обтирочных материалов</w:t>
            </w:r>
          </w:p>
          <w:p w14:paraId="2C476ECE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Укладывать и закреплять на обрешетке или настиле рулонные и штучные кровельные материалы при устройстве кровель</w:t>
            </w:r>
          </w:p>
          <w:p w14:paraId="4B728C65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sz w:val="24"/>
                <w:szCs w:val="24"/>
              </w:rPr>
              <w:t>Выполнять строповку, увязку и перемещение грузов массой до 500 кг с помощью подъемно-транспортных и специальных средств в пределах рабочего места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0DFB1" w14:textId="77777777" w:rsidR="00B20FBF" w:rsidRPr="00402087" w:rsidRDefault="00B20FBF" w:rsidP="0078211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2AB4F" w14:textId="77777777" w:rsidR="00B20FBF" w:rsidRPr="00402087" w:rsidRDefault="00B20FBF" w:rsidP="00B20FBF">
      <w:pPr>
        <w:pStyle w:val="aff4"/>
        <w:rPr>
          <w:b/>
          <w:i/>
          <w:sz w:val="24"/>
          <w:szCs w:val="24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48" w:type="pct"/>
        <w:jc w:val="center"/>
        <w:tblLook w:val="04A0" w:firstRow="1" w:lastRow="0" w:firstColumn="1" w:lastColumn="0" w:noHBand="0" w:noVBand="1"/>
      </w:tblPr>
      <w:tblGrid>
        <w:gridCol w:w="2053"/>
        <w:gridCol w:w="360"/>
        <w:gridCol w:w="1622"/>
        <w:gridCol w:w="1595"/>
        <w:gridCol w:w="1460"/>
        <w:gridCol w:w="2439"/>
      </w:tblGrid>
      <w:tr w:rsidR="00512201" w:rsidRPr="00FC21EB" w14:paraId="76E2E7E5" w14:textId="77777777" w:rsidTr="00782114">
        <w:trPr>
          <w:trHeight w:val="1538"/>
          <w:jc w:val="center"/>
        </w:trPr>
        <w:tc>
          <w:tcPr>
            <w:tcW w:w="3720" w:type="pct"/>
            <w:gridSpan w:val="5"/>
            <w:shd w:val="clear" w:color="auto" w:fill="92D050"/>
            <w:vAlign w:val="center"/>
          </w:tcPr>
          <w:p w14:paraId="6B79802E" w14:textId="77777777" w:rsidR="00512201" w:rsidRPr="00FC21EB" w:rsidRDefault="00512201" w:rsidP="00782114">
            <w:pPr>
              <w:jc w:val="center"/>
              <w:rPr>
                <w:b/>
                <w:sz w:val="22"/>
                <w:szCs w:val="22"/>
              </w:rPr>
            </w:pPr>
            <w:r w:rsidRPr="00FC21E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80" w:type="pct"/>
            <w:shd w:val="clear" w:color="auto" w:fill="92D050"/>
            <w:vAlign w:val="center"/>
          </w:tcPr>
          <w:p w14:paraId="2F374871" w14:textId="77777777" w:rsidR="00512201" w:rsidRPr="00FC21EB" w:rsidRDefault="00512201" w:rsidP="00782114">
            <w:pPr>
              <w:jc w:val="center"/>
              <w:rPr>
                <w:b/>
                <w:sz w:val="22"/>
                <w:szCs w:val="22"/>
              </w:rPr>
            </w:pPr>
            <w:r w:rsidRPr="00FC21E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12201" w:rsidRPr="00FC21EB" w14:paraId="00F89A86" w14:textId="77777777" w:rsidTr="00782114">
        <w:trPr>
          <w:trHeight w:val="50"/>
          <w:jc w:val="center"/>
        </w:trPr>
        <w:tc>
          <w:tcPr>
            <w:tcW w:w="1077" w:type="pct"/>
            <w:vMerge w:val="restart"/>
            <w:shd w:val="clear" w:color="auto" w:fill="92D050"/>
            <w:vAlign w:val="center"/>
          </w:tcPr>
          <w:p w14:paraId="79E73C04" w14:textId="77777777" w:rsidR="00512201" w:rsidRPr="00FC21EB" w:rsidRDefault="00512201" w:rsidP="00782114">
            <w:pPr>
              <w:jc w:val="center"/>
              <w:rPr>
                <w:b/>
                <w:sz w:val="22"/>
                <w:szCs w:val="22"/>
              </w:rPr>
            </w:pPr>
            <w:r w:rsidRPr="00FC21E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9" w:type="pct"/>
            <w:shd w:val="clear" w:color="auto" w:fill="92D050"/>
            <w:vAlign w:val="center"/>
          </w:tcPr>
          <w:p w14:paraId="36F66129" w14:textId="77777777" w:rsidR="00512201" w:rsidRPr="00FC21EB" w:rsidRDefault="00512201" w:rsidP="0078211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00B050"/>
            <w:vAlign w:val="center"/>
          </w:tcPr>
          <w:p w14:paraId="24FA378A" w14:textId="77777777" w:rsidR="00512201" w:rsidRPr="00FC21EB" w:rsidRDefault="00512201" w:rsidP="007821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C21EB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37" w:type="pct"/>
            <w:shd w:val="clear" w:color="auto" w:fill="00B050"/>
            <w:vAlign w:val="center"/>
          </w:tcPr>
          <w:p w14:paraId="2E317436" w14:textId="77777777" w:rsidR="00512201" w:rsidRPr="00FC21EB" w:rsidRDefault="00512201" w:rsidP="0078211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C21EB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66" w:type="pct"/>
            <w:shd w:val="clear" w:color="auto" w:fill="00B050"/>
            <w:vAlign w:val="center"/>
          </w:tcPr>
          <w:p w14:paraId="3A44159B" w14:textId="77777777" w:rsidR="00512201" w:rsidRPr="00FC21EB" w:rsidRDefault="00512201" w:rsidP="0078211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C21EB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80" w:type="pct"/>
            <w:shd w:val="clear" w:color="auto" w:fill="00B050"/>
            <w:vAlign w:val="center"/>
          </w:tcPr>
          <w:p w14:paraId="60FDBAEA" w14:textId="77777777" w:rsidR="00512201" w:rsidRPr="00FC21EB" w:rsidRDefault="00512201" w:rsidP="0078211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12201" w:rsidRPr="00FC21EB" w14:paraId="5CB99736" w14:textId="77777777" w:rsidTr="00782114">
        <w:trPr>
          <w:trHeight w:val="50"/>
          <w:jc w:val="center"/>
        </w:trPr>
        <w:tc>
          <w:tcPr>
            <w:tcW w:w="1077" w:type="pct"/>
            <w:vMerge/>
            <w:shd w:val="clear" w:color="auto" w:fill="92D050"/>
            <w:vAlign w:val="center"/>
          </w:tcPr>
          <w:p w14:paraId="5C4CAF4A" w14:textId="77777777" w:rsidR="00512201" w:rsidRPr="00FC21EB" w:rsidRDefault="00512201" w:rsidP="007821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04ED94F6" w14:textId="77777777" w:rsidR="00512201" w:rsidRPr="00FC21EB" w:rsidRDefault="00512201" w:rsidP="007821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C21EB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pct"/>
            <w:vAlign w:val="center"/>
          </w:tcPr>
          <w:p w14:paraId="29784F9A" w14:textId="0FA8BF8A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23,30</w:t>
            </w:r>
          </w:p>
        </w:tc>
        <w:tc>
          <w:tcPr>
            <w:tcW w:w="837" w:type="pct"/>
            <w:vAlign w:val="center"/>
          </w:tcPr>
          <w:p w14:paraId="07927D32" w14:textId="743BB2F8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6" w:type="pct"/>
            <w:vAlign w:val="center"/>
          </w:tcPr>
          <w:p w14:paraId="19D9AE20" w14:textId="77777777" w:rsidR="00512201" w:rsidRPr="00FC21EB" w:rsidRDefault="00512201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80" w:type="pct"/>
            <w:shd w:val="clear" w:color="auto" w:fill="F2F2F2" w:themeFill="background1" w:themeFillShade="F2"/>
            <w:vAlign w:val="center"/>
          </w:tcPr>
          <w:p w14:paraId="4EF9B5A0" w14:textId="0FCEA6EA" w:rsidR="00512201" w:rsidRPr="00FC21EB" w:rsidRDefault="00231E61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12201" w:rsidRPr="00FC21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512201" w:rsidRPr="00FC21EB">
              <w:rPr>
                <w:sz w:val="22"/>
                <w:szCs w:val="22"/>
              </w:rPr>
              <w:t>0</w:t>
            </w:r>
          </w:p>
        </w:tc>
      </w:tr>
      <w:tr w:rsidR="00512201" w:rsidRPr="00FC21EB" w14:paraId="1077E270" w14:textId="77777777" w:rsidTr="00782114">
        <w:trPr>
          <w:trHeight w:val="50"/>
          <w:jc w:val="center"/>
        </w:trPr>
        <w:tc>
          <w:tcPr>
            <w:tcW w:w="1077" w:type="pct"/>
            <w:vMerge/>
            <w:shd w:val="clear" w:color="auto" w:fill="92D050"/>
            <w:vAlign w:val="center"/>
          </w:tcPr>
          <w:p w14:paraId="56EAD585" w14:textId="77777777" w:rsidR="00512201" w:rsidRPr="00FC21EB" w:rsidRDefault="00512201" w:rsidP="007821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0A0E4688" w14:textId="77777777" w:rsidR="00512201" w:rsidRPr="00FC21EB" w:rsidRDefault="00512201" w:rsidP="007821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C21EB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pct"/>
            <w:vAlign w:val="center"/>
          </w:tcPr>
          <w:p w14:paraId="60B48281" w14:textId="73E8B16C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7" w:type="pct"/>
            <w:vAlign w:val="center"/>
          </w:tcPr>
          <w:p w14:paraId="07FF8A6C" w14:textId="4CC65F51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766" w:type="pct"/>
            <w:vAlign w:val="center"/>
          </w:tcPr>
          <w:p w14:paraId="716E18DD" w14:textId="471FE646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2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512201">
              <w:rPr>
                <w:sz w:val="22"/>
                <w:szCs w:val="22"/>
              </w:rPr>
              <w:t>0</w:t>
            </w:r>
          </w:p>
        </w:tc>
        <w:tc>
          <w:tcPr>
            <w:tcW w:w="1280" w:type="pct"/>
            <w:shd w:val="clear" w:color="auto" w:fill="F2F2F2" w:themeFill="background1" w:themeFillShade="F2"/>
            <w:vAlign w:val="center"/>
          </w:tcPr>
          <w:p w14:paraId="27BCC901" w14:textId="423FCF5E" w:rsidR="00512201" w:rsidRPr="00FC21EB" w:rsidRDefault="00512201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31E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231E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</w:tr>
      <w:tr w:rsidR="00512201" w:rsidRPr="00FC21EB" w14:paraId="1EFFFA18" w14:textId="77777777" w:rsidTr="00782114">
        <w:trPr>
          <w:trHeight w:val="50"/>
          <w:jc w:val="center"/>
        </w:trPr>
        <w:tc>
          <w:tcPr>
            <w:tcW w:w="1077" w:type="pct"/>
            <w:vMerge/>
            <w:shd w:val="clear" w:color="auto" w:fill="92D050"/>
            <w:vAlign w:val="center"/>
          </w:tcPr>
          <w:p w14:paraId="6236A991" w14:textId="77777777" w:rsidR="00512201" w:rsidRPr="00FC21EB" w:rsidRDefault="00512201" w:rsidP="007821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6614196F" w14:textId="77777777" w:rsidR="00512201" w:rsidRPr="00FC21EB" w:rsidRDefault="00512201" w:rsidP="007821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C21EB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pct"/>
            <w:vAlign w:val="center"/>
          </w:tcPr>
          <w:p w14:paraId="2C209789" w14:textId="21C08344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7" w:type="pct"/>
            <w:vAlign w:val="center"/>
          </w:tcPr>
          <w:p w14:paraId="79621EEF" w14:textId="44B6DA25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25,50</w:t>
            </w:r>
          </w:p>
        </w:tc>
        <w:tc>
          <w:tcPr>
            <w:tcW w:w="766" w:type="pct"/>
            <w:vAlign w:val="center"/>
          </w:tcPr>
          <w:p w14:paraId="4449B18F" w14:textId="7479E1BB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2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512201">
              <w:rPr>
                <w:sz w:val="22"/>
                <w:szCs w:val="22"/>
              </w:rPr>
              <w:t>0</w:t>
            </w:r>
          </w:p>
        </w:tc>
        <w:tc>
          <w:tcPr>
            <w:tcW w:w="1280" w:type="pct"/>
            <w:shd w:val="clear" w:color="auto" w:fill="F2F2F2" w:themeFill="background1" w:themeFillShade="F2"/>
            <w:vAlign w:val="center"/>
          </w:tcPr>
          <w:p w14:paraId="5A2D82CE" w14:textId="0621BF23" w:rsidR="00512201" w:rsidRPr="00FC21EB" w:rsidRDefault="00231E61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512201">
              <w:rPr>
                <w:sz w:val="22"/>
                <w:szCs w:val="22"/>
              </w:rPr>
              <w:t>,00</w:t>
            </w:r>
          </w:p>
        </w:tc>
      </w:tr>
      <w:tr w:rsidR="00512201" w:rsidRPr="00FC21EB" w14:paraId="2AFA7094" w14:textId="77777777" w:rsidTr="00782114">
        <w:trPr>
          <w:trHeight w:val="50"/>
          <w:jc w:val="center"/>
        </w:trPr>
        <w:tc>
          <w:tcPr>
            <w:tcW w:w="1266" w:type="pct"/>
            <w:gridSpan w:val="2"/>
            <w:shd w:val="clear" w:color="auto" w:fill="00B050"/>
            <w:vAlign w:val="center"/>
          </w:tcPr>
          <w:p w14:paraId="77CF1FA4" w14:textId="77777777" w:rsidR="00512201" w:rsidRPr="00FC21EB" w:rsidRDefault="00512201" w:rsidP="00782114">
            <w:pPr>
              <w:jc w:val="center"/>
              <w:rPr>
                <w:sz w:val="22"/>
                <w:szCs w:val="22"/>
              </w:rPr>
            </w:pPr>
            <w:r w:rsidRPr="00FC21EB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5FFDC878" w14:textId="5F3F2942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23,30</w:t>
            </w:r>
          </w:p>
        </w:tc>
        <w:tc>
          <w:tcPr>
            <w:tcW w:w="837" w:type="pct"/>
            <w:shd w:val="clear" w:color="auto" w:fill="F2F2F2" w:themeFill="background1" w:themeFillShade="F2"/>
            <w:vAlign w:val="center"/>
          </w:tcPr>
          <w:p w14:paraId="26008108" w14:textId="08CF4249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512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512201">
              <w:rPr>
                <w:sz w:val="22"/>
                <w:szCs w:val="22"/>
              </w:rPr>
              <w:t>0</w:t>
            </w:r>
          </w:p>
        </w:tc>
        <w:tc>
          <w:tcPr>
            <w:tcW w:w="766" w:type="pct"/>
            <w:shd w:val="clear" w:color="auto" w:fill="F2F2F2" w:themeFill="background1" w:themeFillShade="F2"/>
            <w:vAlign w:val="center"/>
          </w:tcPr>
          <w:p w14:paraId="7C62D6C9" w14:textId="6816CD3F" w:rsidR="00512201" w:rsidRPr="00FC21EB" w:rsidRDefault="004E2CC7" w:rsidP="0078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12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512201">
              <w:rPr>
                <w:sz w:val="22"/>
                <w:szCs w:val="22"/>
              </w:rPr>
              <w:t>0</w:t>
            </w:r>
          </w:p>
        </w:tc>
        <w:tc>
          <w:tcPr>
            <w:tcW w:w="1280" w:type="pct"/>
            <w:shd w:val="clear" w:color="auto" w:fill="F2F2F2" w:themeFill="background1" w:themeFillShade="F2"/>
            <w:vAlign w:val="center"/>
          </w:tcPr>
          <w:p w14:paraId="76D6D6C6" w14:textId="77777777" w:rsidR="00512201" w:rsidRPr="00FC21EB" w:rsidRDefault="00512201" w:rsidP="00782114">
            <w:pPr>
              <w:jc w:val="center"/>
              <w:rPr>
                <w:b/>
                <w:sz w:val="22"/>
                <w:szCs w:val="22"/>
              </w:rPr>
            </w:pPr>
            <w:r w:rsidRPr="00FC21EB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763A069" w14:textId="77777777" w:rsidR="00231E61" w:rsidRPr="00402087" w:rsidRDefault="00231E61" w:rsidP="00231E6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087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31E61" w:rsidRPr="00402087" w14:paraId="3EA13CD6" w14:textId="77777777" w:rsidTr="00782114">
        <w:tc>
          <w:tcPr>
            <w:tcW w:w="1851" w:type="pct"/>
            <w:gridSpan w:val="2"/>
            <w:shd w:val="clear" w:color="auto" w:fill="92D050"/>
          </w:tcPr>
          <w:p w14:paraId="740DC86A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08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FCE7667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08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31E61" w:rsidRPr="00402087" w14:paraId="46E333DA" w14:textId="77777777" w:rsidTr="00782114">
        <w:tc>
          <w:tcPr>
            <w:tcW w:w="282" w:type="pct"/>
            <w:shd w:val="clear" w:color="auto" w:fill="00B050"/>
          </w:tcPr>
          <w:p w14:paraId="4AA7BB67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569" w:type="pct"/>
            <w:shd w:val="clear" w:color="auto" w:fill="92D050"/>
          </w:tcPr>
          <w:p w14:paraId="1FCD3A35" w14:textId="77777777" w:rsidR="00231E61" w:rsidRPr="00402087" w:rsidRDefault="00231E61" w:rsidP="00782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087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А:</w:t>
            </w:r>
            <w:r w:rsidRPr="004020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Опалубка. </w:t>
            </w:r>
          </w:p>
        </w:tc>
        <w:tc>
          <w:tcPr>
            <w:tcW w:w="3149" w:type="pct"/>
            <w:shd w:val="clear" w:color="auto" w:fill="auto"/>
          </w:tcPr>
          <w:p w14:paraId="1F3ECA4A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087">
              <w:rPr>
                <w:sz w:val="24"/>
                <w:szCs w:val="24"/>
              </w:rPr>
              <w:t>При оценке модуля используются средства объективного контроля, а также экспертная оценка. Оценке подлежат: подготовка и организация рабочего места, соблюдение правил ОТ и ТБ, линейные и угловые размеры, качество поверхности, целостность изделия.</w:t>
            </w:r>
          </w:p>
        </w:tc>
      </w:tr>
      <w:tr w:rsidR="00231E61" w:rsidRPr="00402087" w14:paraId="56F8AAB5" w14:textId="77777777" w:rsidTr="00782114">
        <w:tc>
          <w:tcPr>
            <w:tcW w:w="282" w:type="pct"/>
            <w:shd w:val="clear" w:color="auto" w:fill="00B050"/>
          </w:tcPr>
          <w:p w14:paraId="15490A2A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69" w:type="pct"/>
            <w:shd w:val="clear" w:color="auto" w:fill="92D050"/>
          </w:tcPr>
          <w:p w14:paraId="2E17AA2D" w14:textId="77777777" w:rsidR="00231E61" w:rsidRPr="00402087" w:rsidRDefault="00231E61" w:rsidP="00782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087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Б:</w:t>
            </w:r>
            <w:r w:rsidRPr="00402087">
              <w:rPr>
                <w:b/>
                <w:sz w:val="24"/>
                <w:szCs w:val="24"/>
              </w:rPr>
              <w:t xml:space="preserve"> Арматурный каркас</w:t>
            </w:r>
            <w:r>
              <w:rPr>
                <w:b/>
                <w:sz w:val="24"/>
                <w:szCs w:val="24"/>
              </w:rPr>
              <w:t>. Инвариант.</w:t>
            </w:r>
          </w:p>
        </w:tc>
        <w:tc>
          <w:tcPr>
            <w:tcW w:w="3149" w:type="pct"/>
            <w:shd w:val="clear" w:color="auto" w:fill="auto"/>
          </w:tcPr>
          <w:p w14:paraId="5CE84DAC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087">
              <w:rPr>
                <w:sz w:val="24"/>
                <w:szCs w:val="24"/>
              </w:rPr>
              <w:t>При оценке модуля используются средства объективного контроля, а также экспертная оценка. Оценке подлежат: подготовка и организация рабочего места, соблюдение правил ОТ и ТБ, линейные и угловые размеры, местоположение, крепость изделия, наличие дистанцеров защитного слоя бетона.</w:t>
            </w:r>
          </w:p>
        </w:tc>
      </w:tr>
      <w:tr w:rsidR="00231E61" w:rsidRPr="00402087" w14:paraId="449D0E11" w14:textId="77777777" w:rsidTr="00782114">
        <w:tc>
          <w:tcPr>
            <w:tcW w:w="282" w:type="pct"/>
            <w:shd w:val="clear" w:color="auto" w:fill="00B050"/>
          </w:tcPr>
          <w:p w14:paraId="1CB9B8D3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569" w:type="pct"/>
            <w:shd w:val="clear" w:color="auto" w:fill="92D050"/>
          </w:tcPr>
          <w:p w14:paraId="1BF42CAE" w14:textId="77777777" w:rsidR="00231E61" w:rsidRPr="00402087" w:rsidRDefault="00231E61" w:rsidP="007821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В: Опалубка под Балку. Инвариант.</w:t>
            </w:r>
          </w:p>
        </w:tc>
        <w:tc>
          <w:tcPr>
            <w:tcW w:w="3149" w:type="pct"/>
            <w:shd w:val="clear" w:color="auto" w:fill="auto"/>
          </w:tcPr>
          <w:p w14:paraId="0162C144" w14:textId="77777777" w:rsidR="00231E61" w:rsidRPr="00402087" w:rsidRDefault="00231E61" w:rsidP="007821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087">
              <w:rPr>
                <w:sz w:val="24"/>
                <w:szCs w:val="24"/>
              </w:rPr>
              <w:t>При оценке модуля используются средства объективного контроля, а также экспертная оценка. Оценке подлежат: подготовка и организация рабочего места, соблюдение правил ОТ и ТБ, линейные размеры,</w:t>
            </w:r>
            <w:r>
              <w:rPr>
                <w:sz w:val="24"/>
                <w:szCs w:val="24"/>
              </w:rPr>
              <w:t xml:space="preserve"> вертикальность,</w:t>
            </w:r>
            <w:r w:rsidRPr="00402087">
              <w:rPr>
                <w:sz w:val="24"/>
                <w:szCs w:val="24"/>
              </w:rPr>
              <w:t xml:space="preserve"> технологичность монтажа.</w:t>
            </w:r>
          </w:p>
        </w:tc>
      </w:tr>
    </w:tbl>
    <w:p w14:paraId="3B6CA5D9" w14:textId="636E65E5" w:rsidR="005A1625" w:rsidRPr="00D83E4E" w:rsidRDefault="005A1625" w:rsidP="00231E61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5167360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31E6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0712D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31E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231E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2DCC3F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1E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E2DED74" w:rsidR="00730AE0" w:rsidRPr="00231E61" w:rsidRDefault="00730AE0" w:rsidP="00231E61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E61" w:rsidRPr="00402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231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Сборка мелкощитовой опалубки</w:t>
      </w:r>
      <w:r w:rsidR="00231E61" w:rsidRPr="00402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31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(Инвариант)</w:t>
      </w:r>
    </w:p>
    <w:p w14:paraId="046BB9A5" w14:textId="353FCF79" w:rsidR="00730AE0" w:rsidRPr="00C97E44" w:rsidRDefault="00231E61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- 16 часов</w:t>
      </w:r>
    </w:p>
    <w:p w14:paraId="33BDA664" w14:textId="46FA8E7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 необходимо произвести монтаж опалубной системы согласно конкурсного задания (Приложение к Конкурсному заданию). Экспертная группа чемпионата определит для каждого участника базовую высотную отметку для выполнения конкурсного задания.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Оценивание модуля производится жюри в конце конкурсного дня 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>Д3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663B75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E61" w:rsidRPr="00402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«Арматурный каркас» </w:t>
      </w:r>
      <w:r w:rsidR="00231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231E61" w:rsidRPr="00402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авровая балка</w:t>
      </w:r>
      <w:r w:rsidR="00231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(Инвариант)</w:t>
      </w:r>
    </w:p>
    <w:p w14:paraId="58E5C1CC" w14:textId="760E1685" w:rsidR="00231E61" w:rsidRPr="00C97E44" w:rsidRDefault="00231E61" w:rsidP="00231E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- 6 часов</w:t>
      </w:r>
    </w:p>
    <w:p w14:paraId="14AB8B9D" w14:textId="75D63DC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>Модуль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выполняется из предоставленных организатором согласно инфраструктурного листа арматурных хомутов (бугелей) и арматурных хлыстов. В модуль 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вносятся изменения не менее 30 %. Оценивание модуля производится жюри в конце конкурсного дня 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>Д1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5738908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E61" w:rsidRPr="00402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«Опалубная система </w:t>
      </w:r>
      <w:r w:rsidR="00231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 ж/б балку»</w:t>
      </w:r>
    </w:p>
    <w:p w14:paraId="1E9B7106" w14:textId="4C4BA54E" w:rsidR="00231E61" w:rsidRPr="00C97E44" w:rsidRDefault="00231E61" w:rsidP="00231E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- 16 часов</w:t>
      </w:r>
    </w:p>
    <w:p w14:paraId="70C6C513" w14:textId="76C70C6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Модуль 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вносятся изменения не менее 30%. Окончательные размеры, форма и геометрия опалубочной конструкции и вставных элементов определяются экспертами в рамках 30 % изменений конкурсного задания. Участникам необходимо произвести монтаж опалубной системы согласно конкурсного задания (Приложение к Конкурсному заданию). Экспертная группа чемпионата определит для каждого участника базовую высотную отметку для выполнения конкурсного задания.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Оценивание модуля производится жюри в конце конкурсного дня </w:t>
      </w:r>
      <w:r w:rsidR="00231E61">
        <w:rPr>
          <w:rFonts w:ascii="Times New Roman" w:hAnsi="Times New Roman" w:cs="Times New Roman"/>
          <w:color w:val="000000" w:themeColor="text1"/>
          <w:sz w:val="24"/>
          <w:szCs w:val="24"/>
        </w:rPr>
        <w:t>Д3</w:t>
      </w:r>
      <w:r w:rsidR="00231E61" w:rsidRPr="00402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7A2A41A3" w14:textId="77777777" w:rsidR="00231E61" w:rsidRPr="00402087" w:rsidRDefault="00231E61" w:rsidP="00231E61">
      <w:pPr>
        <w:pStyle w:val="41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соревнований получают </w:t>
      </w:r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чертежи</w:t>
      </w: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конкурсных</w:t>
      </w: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(модулей),</w:t>
      </w:r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 точки привязки,</w:t>
      </w: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общие принципы</w:t>
      </w: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оценивания. Конкурсное задание имеет три модуля, Модуль считается завершенным, если он полностью выполнен в соответствии с заданием. Каждый выполненный модуль оценивается отдельно.</w:t>
      </w:r>
    </w:p>
    <w:p w14:paraId="42250B51" w14:textId="77777777" w:rsidR="00231E61" w:rsidRPr="00402087" w:rsidRDefault="00231E61" w:rsidP="00231E61">
      <w:pPr>
        <w:pStyle w:val="41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Окончательные аспекты критериев оценки уточняются членами жюри, после внесения изменений в конкурсное задание не менее, чем на 30%. Оценка производится как в отношении работы модулей, так и в отношении процесса выполнения конкурсной работы в соответствии с описанием компетенции. Если участник конкурса нарушает требования техники безопасности и охраны труда, подвергает опасности себя или других конкурсантов, участник отстраняется от работы на изучение правил по технике безопасности, с ним </w:t>
      </w: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проводится инструктаж, который регистрируется в протоколе инструктажа. Время, потраченное на изучение правил по технике безопасности и проведение инструктажа, участнику конкурса не компенсируется. При неоднократном или серьезном нарушении правил техники безопасности и охраны труда конкурсант может быть отстранен от конкурса. Отстранение от конкурса оформляется актом.</w:t>
      </w:r>
    </w:p>
    <w:p w14:paraId="6AD0F918" w14:textId="388E8163" w:rsidR="00EA30C6" w:rsidRDefault="00231E61" w:rsidP="00231E61">
      <w:pPr>
        <w:pStyle w:val="41"/>
        <w:shd w:val="clear" w:color="auto" w:fill="auto"/>
        <w:spacing w:before="0" w:after="0" w:line="276" w:lineRule="auto"/>
        <w:ind w:left="23" w:firstLine="709"/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</w:pPr>
      <w:r w:rsidRPr="00402087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14:paraId="4E068FBA" w14:textId="49E70030" w:rsidR="00200BD0" w:rsidRPr="00231E61" w:rsidRDefault="00200BD0" w:rsidP="00231E61">
      <w:pPr>
        <w:pStyle w:val="41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Во время выполнения конкурсного задания участники в праве потребовать помощи у волонтеров. Волонтеры имеют право помочь с тяжелыми элементами при сборке опалубки или при повороте и переносе арматурного каркаса, но помощь не должна влиять на качество исполнения задания.</w:t>
      </w:r>
      <w:bookmarkStart w:id="14" w:name="_GoBack"/>
      <w:bookmarkEnd w:id="14"/>
    </w:p>
    <w:p w14:paraId="245CDCAC" w14:textId="094DB49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  <w:r w:rsidR="00EA1863">
        <w:rPr>
          <w:rFonts w:ascii="Times New Roman" w:hAnsi="Times New Roman"/>
        </w:rPr>
        <w:t xml:space="preserve"> (Неопределенный)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tbl>
      <w:tblPr>
        <w:tblOverlap w:val="never"/>
        <w:tblW w:w="4119" w:type="pct"/>
        <w:tblInd w:w="73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7"/>
        <w:gridCol w:w="3994"/>
      </w:tblGrid>
      <w:tr w:rsidR="00EA1863" w:rsidRPr="00402087" w14:paraId="36F47437" w14:textId="77777777" w:rsidTr="00782114">
        <w:trPr>
          <w:trHeight w:val="6338"/>
        </w:trPr>
        <w:tc>
          <w:tcPr>
            <w:tcW w:w="2485" w:type="pct"/>
            <w:shd w:val="clear" w:color="auto" w:fill="FFFFFF"/>
          </w:tcPr>
          <w:p w14:paraId="05164FC4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_Toc78885660"/>
            <w:bookmarkStart w:id="18" w:name="_Toc142037193"/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алюминиевое правило</w:t>
            </w:r>
          </w:p>
          <w:p w14:paraId="43FEC12F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растворный черпак с ручкой</w:t>
            </w:r>
          </w:p>
          <w:p w14:paraId="1F45FDA5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циркуль</w:t>
            </w:r>
          </w:p>
          <w:p w14:paraId="5B20670D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 для инструмента</w:t>
            </w:r>
          </w:p>
          <w:p w14:paraId="051E3BD6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мастерок для финишной обработки</w:t>
            </w:r>
          </w:p>
          <w:p w14:paraId="73EA399C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молоток</w:t>
            </w:r>
          </w:p>
          <w:p w14:paraId="7BB110B3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топорик</w:t>
            </w:r>
          </w:p>
          <w:p w14:paraId="52DAAD1F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киянка</w:t>
            </w:r>
          </w:p>
          <w:p w14:paraId="2A304F1C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столярные клещи</w:t>
            </w:r>
          </w:p>
          <w:p w14:paraId="1A57BEA4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tabs>
                <w:tab w:val="left" w:pos="443"/>
              </w:tabs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клещи арматурщика</w:t>
            </w:r>
          </w:p>
          <w:p w14:paraId="33394869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болторез</w:t>
            </w:r>
          </w:p>
          <w:p w14:paraId="379BABC7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арматурогиб</w:t>
            </w:r>
          </w:p>
          <w:p w14:paraId="6A19BDA5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гаечный ключ с трещоткой для головок</w:t>
            </w:r>
          </w:p>
          <w:p w14:paraId="788D404D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рожковые гаечные ключи</w:t>
            </w:r>
          </w:p>
          <w:p w14:paraId="5DE8B040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накладные гаечные ключи</w:t>
            </w:r>
          </w:p>
          <w:p w14:paraId="42BE5ED7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отвертка</w:t>
            </w:r>
          </w:p>
          <w:p w14:paraId="1C4944E9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стамеска</w:t>
            </w:r>
          </w:p>
          <w:p w14:paraId="41E55A36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лейка</w:t>
            </w:r>
          </w:p>
          <w:p w14:paraId="16C2B2F8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ящик для инструментов</w:t>
            </w:r>
          </w:p>
          <w:p w14:paraId="46589668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лобзик по металлу</w:t>
            </w:r>
          </w:p>
          <w:p w14:paraId="4F8EE41B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лучковая пила</w:t>
            </w:r>
          </w:p>
          <w:p w14:paraId="37D1AEDC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ножовка по дереву</w:t>
            </w:r>
          </w:p>
          <w:p w14:paraId="022DF99B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узкая ножовка по дереву</w:t>
            </w:r>
          </w:p>
          <w:p w14:paraId="38CD4DF4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шпатель</w:t>
            </w:r>
          </w:p>
          <w:p w14:paraId="37346EA6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лом-монтировка</w:t>
            </w:r>
          </w:p>
          <w:p w14:paraId="71859B16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лом-гвоздодер</w:t>
            </w:r>
          </w:p>
          <w:p w14:paraId="2D9B9175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терка, полутерок, гладилка</w:t>
            </w:r>
          </w:p>
          <w:p w14:paraId="4427EFB9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кисть для побелки</w:t>
            </w:r>
          </w:p>
          <w:p w14:paraId="4B246B37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круглая кисть</w:t>
            </w:r>
          </w:p>
          <w:p w14:paraId="4F32031B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мастерок</w:t>
            </w:r>
          </w:p>
          <w:p w14:paraId="4CAE12C0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электрический лобзик</w:t>
            </w:r>
          </w:p>
          <w:p w14:paraId="4D1237D3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электрическая дрель-шуруповерт</w:t>
            </w:r>
          </w:p>
          <w:p w14:paraId="4EF47EF4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электрическая ручная циркулярная пила</w:t>
            </w:r>
          </w:p>
        </w:tc>
        <w:tc>
          <w:tcPr>
            <w:tcW w:w="2515" w:type="pct"/>
            <w:shd w:val="clear" w:color="auto" w:fill="FFFFFF"/>
          </w:tcPr>
          <w:p w14:paraId="14B746A9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лопаты</w:t>
            </w:r>
          </w:p>
          <w:p w14:paraId="561E8A13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проволочная щетка</w:t>
            </w:r>
          </w:p>
          <w:p w14:paraId="6CA3DC15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струбцины</w:t>
            </w:r>
          </w:p>
          <w:p w14:paraId="653F0205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рубанок</w:t>
            </w:r>
          </w:p>
          <w:p w14:paraId="3D3D6557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сверла по дереву и бетону</w:t>
            </w:r>
          </w:p>
          <w:p w14:paraId="7765872E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очки — защита глаз</w:t>
            </w:r>
          </w:p>
          <w:p w14:paraId="0CFFE1FB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защитная обувь со стальным носком</w:t>
            </w:r>
          </w:p>
          <w:p w14:paraId="4F8D0DCF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беруши или наушники</w:t>
            </w:r>
          </w:p>
          <w:p w14:paraId="71579DCE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гвозди</w:t>
            </w:r>
          </w:p>
          <w:p w14:paraId="494DDF59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саморезы</w:t>
            </w:r>
          </w:p>
          <w:p w14:paraId="4B7E2862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спиртовой уровень</w:t>
            </w:r>
          </w:p>
          <w:p w14:paraId="41E00348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шнуровой отвес</w:t>
            </w:r>
          </w:p>
          <w:p w14:paraId="49EAA62A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рулетка</w:t>
            </w:r>
          </w:p>
          <w:p w14:paraId="49F57E43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</w:t>
            </w:r>
          </w:p>
          <w:p w14:paraId="69F9A47B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измерительная рейка</w:t>
            </w:r>
          </w:p>
          <w:p w14:paraId="29280237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плотничный угольник металлический</w:t>
            </w:r>
          </w:p>
          <w:p w14:paraId="7EE9B14C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угломер</w:t>
            </w:r>
          </w:p>
          <w:p w14:paraId="6643AF16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складной метр</w:t>
            </w:r>
          </w:p>
          <w:p w14:paraId="4DA0D035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измерительные инструменты (в т.ч. оптический нивелир, ротационный нивелир, лазерный нивелир, лазерный дальномер и др.)</w:t>
            </w:r>
          </w:p>
          <w:p w14:paraId="2D606CB4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отбивочный шнур</w:t>
            </w:r>
          </w:p>
          <w:p w14:paraId="6736FAFF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</w:t>
            </w:r>
          </w:p>
          <w:p w14:paraId="4347FF06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малярная лента</w:t>
            </w:r>
          </w:p>
          <w:p w14:paraId="3C0F62B8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грабли</w:t>
            </w:r>
          </w:p>
          <w:p w14:paraId="354B0902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</w:t>
            </w:r>
          </w:p>
          <w:p w14:paraId="1AA5553D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ведро</w:t>
            </w:r>
          </w:p>
          <w:p w14:paraId="53C3D1E3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напильник</w:t>
            </w:r>
          </w:p>
          <w:p w14:paraId="1A57CB4E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наждачная бумага</w:t>
            </w:r>
          </w:p>
          <w:p w14:paraId="351F4102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сегментный нож</w:t>
            </w:r>
          </w:p>
          <w:p w14:paraId="0B0DC31F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уплотнительная лента</w:t>
            </w:r>
          </w:p>
          <w:p w14:paraId="2A032420" w14:textId="77777777" w:rsidR="00EA1863" w:rsidRPr="00402087" w:rsidRDefault="00EA1863" w:rsidP="00EA1863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деревянные и/или пластиковые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клинья</w:t>
            </w:r>
          </w:p>
          <w:p w14:paraId="558DAB60" w14:textId="77777777" w:rsidR="00EA1863" w:rsidRPr="00402087" w:rsidRDefault="00EA1863" w:rsidP="00782114">
            <w:pPr>
              <w:widowControl w:val="0"/>
              <w:spacing w:after="0" w:line="240" w:lineRule="auto"/>
              <w:ind w:left="39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408CE9C3" w14:textId="2C031274" w:rsidR="00EA1863" w:rsidRPr="00402087" w:rsidRDefault="00EA1863" w:rsidP="00EA1863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42037194"/>
      <w:r w:rsidRPr="00402087">
        <w:rPr>
          <w:rFonts w:ascii="Times New Roman" w:hAnsi="Times New Roman" w:cs="Times New Roman"/>
          <w:sz w:val="24"/>
          <w:szCs w:val="24"/>
        </w:rPr>
        <w:t xml:space="preserve">Инструменты, работающие на сжатом воздухе, на конкурсе использовать не разрешается. </w:t>
      </w:r>
      <w:r>
        <w:rPr>
          <w:rFonts w:ascii="Times New Roman" w:hAnsi="Times New Roman" w:cs="Times New Roman"/>
          <w:sz w:val="24"/>
          <w:szCs w:val="24"/>
        </w:rPr>
        <w:t>А также любые герметизирующие средства, для сокрытия неточных стыков деревянных элементов.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94E63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1E7E04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EA1863">
        <w:rPr>
          <w:rFonts w:ascii="Times New Roman" w:hAnsi="Times New Roman" w:cs="Times New Roman"/>
          <w:sz w:val="28"/>
          <w:szCs w:val="28"/>
        </w:rPr>
        <w:t>Бетонные строительные работы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177D7353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E7E04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DC1C2" w14:textId="77777777" w:rsidR="0017227B" w:rsidRDefault="0017227B" w:rsidP="00970F49">
      <w:pPr>
        <w:spacing w:after="0" w:line="240" w:lineRule="auto"/>
      </w:pPr>
      <w:r>
        <w:separator/>
      </w:r>
    </w:p>
  </w:endnote>
  <w:endnote w:type="continuationSeparator" w:id="0">
    <w:p w14:paraId="05FFEC56" w14:textId="77777777" w:rsidR="0017227B" w:rsidRDefault="001722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88AC403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757B7">
          <w:rPr>
            <w:rFonts w:ascii="Times New Roman" w:hAnsi="Times New Roman" w:cs="Times New Roman"/>
            <w:noProof/>
          </w:rPr>
          <w:t>12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0DDA" w14:textId="77777777" w:rsidR="0017227B" w:rsidRDefault="0017227B" w:rsidP="00970F49">
      <w:pPr>
        <w:spacing w:after="0" w:line="240" w:lineRule="auto"/>
      </w:pPr>
      <w:r>
        <w:separator/>
      </w:r>
    </w:p>
  </w:footnote>
  <w:footnote w:type="continuationSeparator" w:id="0">
    <w:p w14:paraId="65201349" w14:textId="77777777" w:rsidR="0017227B" w:rsidRDefault="0017227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2D96CF9"/>
    <w:multiLevelType w:val="hybridMultilevel"/>
    <w:tmpl w:val="B42C7302"/>
    <w:lvl w:ilvl="0" w:tplc="A29AA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B5E5"/>
      </w:rPr>
    </w:lvl>
    <w:lvl w:ilvl="1" w:tplc="78CE1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A8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E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21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25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A9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04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4E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0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227B"/>
    <w:rsid w:val="0017612A"/>
    <w:rsid w:val="001B4B65"/>
    <w:rsid w:val="001C1282"/>
    <w:rsid w:val="001C63E7"/>
    <w:rsid w:val="001E1DF9"/>
    <w:rsid w:val="001E7E04"/>
    <w:rsid w:val="00200BD0"/>
    <w:rsid w:val="00217814"/>
    <w:rsid w:val="00220E70"/>
    <w:rsid w:val="002228E8"/>
    <w:rsid w:val="00231E61"/>
    <w:rsid w:val="00237603"/>
    <w:rsid w:val="00247E8C"/>
    <w:rsid w:val="002543D3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2CC7"/>
    <w:rsid w:val="004E785E"/>
    <w:rsid w:val="004E7905"/>
    <w:rsid w:val="005055FF"/>
    <w:rsid w:val="00510059"/>
    <w:rsid w:val="0051220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398D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BF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0FBF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57B7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1863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basedOn w:val="a2"/>
    <w:link w:val="41"/>
    <w:rsid w:val="00231E61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5">
    <w:name w:val="Основной текст1"/>
    <w:basedOn w:val="aff8"/>
    <w:rsid w:val="00231E6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1"/>
    <w:link w:val="aff8"/>
    <w:rsid w:val="00231E61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4F80-DD39-479C-99D2-CAE25EB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3006</Words>
  <Characters>17139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2024-11-19T07:26:00Z</dcterms:created>
  <dcterms:modified xsi:type="dcterms:W3CDTF">2024-11-19T07:26:00Z</dcterms:modified>
</cp:coreProperties>
</file>