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Модуль Б</w:t>
      </w:r>
      <w:bookmarkStart w:id="0" w:name="_GoBack"/>
      <w:bookmarkEnd w:id="0"/>
      <w:r>
        <w:rPr>
          <w:rFonts w:cs="Times New Roman" w:ascii="Times New Roman" w:hAnsi="Times New Roman"/>
          <w:b/>
          <w:sz w:val="24"/>
          <w:szCs w:val="24"/>
        </w:rPr>
        <w:t>. Выкопировки из ПОС</w:t>
      </w:r>
    </w:p>
    <w:p>
      <w:pPr>
        <w:pStyle w:val="ListParagraph"/>
        <w:numPr>
          <w:ilvl w:val="0"/>
          <w:numId w:val="1"/>
        </w:numPr>
        <w:ind w:firstLine="709"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Территория строительства</w:t>
      </w:r>
    </w:p>
    <w:p>
      <w:pPr>
        <w:pStyle w:val="ListParagraph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Строительство осуществляется на территории действующего складского комплекса. Для складирования материалов применяются расположенные рядом помещения, которые временно приспособлены для складирования строительных материалов. </w:t>
      </w:r>
    </w:p>
    <w:p>
      <w:pPr>
        <w:pStyle w:val="ListParagraph"/>
        <w:numPr>
          <w:ilvl w:val="0"/>
          <w:numId w:val="1"/>
        </w:numPr>
        <w:ind w:firstLine="709"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Земляные работы</w:t>
      </w:r>
    </w:p>
    <w:p>
      <w:pPr>
        <w:pStyle w:val="ListParagraph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 данным инженерных изысканий основные грунты – пески с примесью гальки и гравия 5%. Пески непригодны для обратной засыпки. </w:t>
      </w:r>
    </w:p>
    <w:p>
      <w:pPr>
        <w:pStyle w:val="ListParagraph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Разработка грунта производится экскаваторами одноковшовыми с емкостью ковшей </w:t>
      </w:r>
      <w:r>
        <w:rPr>
          <w:rFonts w:cs="Times New Roman" w:ascii="Times New Roman" w:hAnsi="Times New Roman"/>
          <w:color w:val="C9211E"/>
          <w:sz w:val="24"/>
          <w:szCs w:val="24"/>
        </w:rPr>
        <w:t>0,</w:t>
      </w:r>
      <w:r>
        <w:rPr>
          <w:rFonts w:cs="Times New Roman" w:ascii="Times New Roman" w:hAnsi="Times New Roman"/>
          <w:color w:val="C9211E"/>
          <w:sz w:val="24"/>
          <w:szCs w:val="24"/>
        </w:rPr>
        <w:t>6</w:t>
      </w:r>
      <w:r>
        <w:rPr>
          <w:rFonts w:cs="Times New Roman" w:ascii="Times New Roman" w:hAnsi="Times New Roman"/>
          <w:color w:val="C9211E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м3. Транспортировка грунта во временный отвал осуществляется самосвалами грузоподъемностью 10-12т на расстояние </w:t>
      </w:r>
      <w:r>
        <w:rPr>
          <w:rFonts w:cs="Times New Roman" w:ascii="Times New Roman" w:hAnsi="Times New Roman"/>
          <w:color w:val="C9211E"/>
          <w:sz w:val="24"/>
          <w:szCs w:val="24"/>
        </w:rPr>
        <w:t>15</w:t>
      </w:r>
      <w:r>
        <w:rPr>
          <w:rFonts w:cs="Times New Roman" w:ascii="Times New Roman" w:hAnsi="Times New Roman"/>
          <w:color w:val="C9211E"/>
          <w:sz w:val="24"/>
          <w:szCs w:val="24"/>
        </w:rPr>
        <w:t xml:space="preserve"> км.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ListParagraph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Относительная отметка 0,00 соответствует абсолютной отметке 21,50.</w:t>
      </w:r>
    </w:p>
    <w:p>
      <w:pPr>
        <w:pStyle w:val="ListParagraph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Отметка планировки в зоне котлована 21,35.</w:t>
      </w:r>
    </w:p>
    <w:p>
      <w:pPr>
        <w:pStyle w:val="ListParagraph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Объем выемки грунта посчитан от отметки планировки. В котловане предусмотрены временные дороги по съезду и внутри котлована.</w:t>
      </w:r>
    </w:p>
    <w:p>
      <w:pPr>
        <w:pStyle w:val="ListParagraph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 наличии грунтовых вод с учетом устройства водоотводных канав расстояние от края конструкции (фундамента) до основания откоса принимается 2 м.</w:t>
      </w:r>
    </w:p>
    <w:p>
      <w:pPr>
        <w:pStyle w:val="ListParagraph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Наименьшая ширина траншей по дну при разработке грунтов экскаваторами принимается в соответствии со СНиП 3.02.01-87 п.3.3, и шириной режущей кромки экскаваторов.</w:t>
      </w:r>
    </w:p>
    <w:p>
      <w:pPr>
        <w:pStyle w:val="ListParagraph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Объем недобора при механизированной разработке мягкого грунта составит 5% от выемки:</w:t>
      </w:r>
    </w:p>
    <w:p>
      <w:pPr>
        <w:pStyle w:val="ListParagraph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- 75% грунта разрабатывается механизированным способом,</w:t>
      </w:r>
    </w:p>
    <w:p>
      <w:pPr>
        <w:pStyle w:val="ListParagraph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- 25% - вручную.</w:t>
      </w:r>
    </w:p>
    <w:p>
      <w:pPr>
        <w:pStyle w:val="ListParagraph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Уровень грунтовых вод близко от поверхности, на глубине до 0,7 м (мокрые грунты).</w:t>
      </w:r>
    </w:p>
    <w:p>
      <w:pPr>
        <w:pStyle w:val="ListParagraph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Питание грунтовых вод осуществляется по всей площади за счет инфильтрации атмосферных осадков и поверхностных вод.</w:t>
      </w:r>
    </w:p>
    <w:p>
      <w:pPr>
        <w:pStyle w:val="ListParagraph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Для обеспечения перехвата притока поверхностных вод с территории, находящейся выше по топографическим отметкам, предусмотрено устройство нагорной канавы. Для осуществления водоотведения до сооружения части нагорной канавы предусмотрено устройство временной водоотводной канавы, соединяющейся с нагорной канавой с южной стороны.</w:t>
      </w:r>
    </w:p>
    <w:p>
      <w:pPr>
        <w:pStyle w:val="ListParagraph"/>
        <w:ind w:firstLine="709"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Для обеспечения понижения уровня грунтовых вод ниже дна котлована на время производства работ предусматриваются открытый водоотлив или глубинное водопонижение.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Обратная засыпка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Обратная засыпка пазух котлована и траншей должна производиться в соответствии со СНиП 3.02.01-87 пп.4.2-4.9.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Таблица – Обратная засыпка пазух котлованов и траншей</w:t>
      </w:r>
    </w:p>
    <w:tbl>
      <w:tblPr>
        <w:tblStyle w:val="a6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502"/>
        <w:gridCol w:w="2562"/>
        <w:gridCol w:w="4507"/>
      </w:tblGrid>
      <w:tr>
        <w:trPr/>
        <w:tc>
          <w:tcPr>
            <w:tcW w:w="25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Наименование</w:t>
            </w:r>
          </w:p>
        </w:tc>
        <w:tc>
          <w:tcPr>
            <w:tcW w:w="256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Процент от общего объема обратной засыпки</w:t>
            </w:r>
          </w:p>
        </w:tc>
        <w:tc>
          <w:tcPr>
            <w:tcW w:w="450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Способ засыпки</w:t>
            </w:r>
          </w:p>
        </w:tc>
      </w:tr>
      <w:tr>
        <w:trPr/>
        <w:tc>
          <w:tcPr>
            <w:tcW w:w="2502" w:type="dxa"/>
            <w:vMerge w:val="restart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Котлованы, пазухи котлованов</w:t>
            </w:r>
          </w:p>
        </w:tc>
        <w:tc>
          <w:tcPr>
            <w:tcW w:w="256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en-US" w:eastAsia="en-US" w:bidi="ar-SA"/>
              </w:rPr>
              <w:t>7</w:t>
            </w:r>
          </w:p>
        </w:tc>
        <w:tc>
          <w:tcPr>
            <w:tcW w:w="450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вручную</w:t>
            </w:r>
          </w:p>
        </w:tc>
      </w:tr>
      <w:tr>
        <w:trPr/>
        <w:tc>
          <w:tcPr>
            <w:tcW w:w="2502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6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30</w:t>
            </w:r>
          </w:p>
        </w:tc>
        <w:tc>
          <w:tcPr>
            <w:tcW w:w="450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грейфером</w:t>
            </w:r>
          </w:p>
        </w:tc>
      </w:tr>
      <w:tr>
        <w:trPr/>
        <w:tc>
          <w:tcPr>
            <w:tcW w:w="2502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6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en-US" w:eastAsia="en-US" w:bidi="ar-SA"/>
              </w:rPr>
              <w:t>3</w:t>
            </w:r>
          </w:p>
        </w:tc>
        <w:tc>
          <w:tcPr>
            <w:tcW w:w="450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бульдозером с перемещением до 20 м и уплотнением пневмотрамбовками и катками</w:t>
            </w:r>
          </w:p>
        </w:tc>
      </w:tr>
      <w:tr>
        <w:trPr/>
        <w:tc>
          <w:tcPr>
            <w:tcW w:w="2502" w:type="dxa"/>
            <w:vMerge w:val="restart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Траншеи под трубопроводы и каналы</w:t>
            </w:r>
          </w:p>
        </w:tc>
        <w:tc>
          <w:tcPr>
            <w:tcW w:w="256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85</w:t>
            </w:r>
          </w:p>
        </w:tc>
        <w:tc>
          <w:tcPr>
            <w:tcW w:w="450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бульдозером</w:t>
            </w:r>
          </w:p>
        </w:tc>
      </w:tr>
      <w:tr>
        <w:trPr/>
        <w:tc>
          <w:tcPr>
            <w:tcW w:w="2502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6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15</w:t>
            </w:r>
          </w:p>
        </w:tc>
        <w:tc>
          <w:tcPr>
            <w:tcW w:w="450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вручную</w:t>
            </w:r>
          </w:p>
        </w:tc>
      </w:tr>
    </w:tbl>
    <w:p>
      <w:pPr>
        <w:pStyle w:val="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Обратные засыпки котлованов и пазух фундаментов и траншей производятся карьерным песком. Количество требуемого рыхлого песка принимается с коэффициентами: при уплотнении до 0,92 стандартной плотности – 1,12, свыше 0,92 – 1,18.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Таблица – Основные источники поставки, расстояния и способы транспортировки песка для обратной засыпки пазух котлованов и траншей</w:t>
      </w:r>
    </w:p>
    <w:tbl>
      <w:tblPr>
        <w:tblStyle w:val="a6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94"/>
        <w:gridCol w:w="2183"/>
        <w:gridCol w:w="2635"/>
        <w:gridCol w:w="2658"/>
      </w:tblGrid>
      <w:tr>
        <w:trPr/>
        <w:tc>
          <w:tcPr>
            <w:tcW w:w="20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Наименование материала</w:t>
            </w:r>
          </w:p>
        </w:tc>
        <w:tc>
          <w:tcPr>
            <w:tcW w:w="21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Наименование предприятия</w:t>
            </w:r>
          </w:p>
        </w:tc>
        <w:tc>
          <w:tcPr>
            <w:tcW w:w="26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Производительность (запасы)</w:t>
            </w:r>
          </w:p>
        </w:tc>
        <w:tc>
          <w:tcPr>
            <w:tcW w:w="26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Расстояние перевозки (км), вид транспорта</w:t>
            </w:r>
          </w:p>
        </w:tc>
      </w:tr>
      <w:tr>
        <w:trPr/>
        <w:tc>
          <w:tcPr>
            <w:tcW w:w="20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песок</w:t>
            </w:r>
          </w:p>
        </w:tc>
        <w:tc>
          <w:tcPr>
            <w:tcW w:w="21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Карьер «Пейпия»</w:t>
            </w:r>
          </w:p>
        </w:tc>
        <w:tc>
          <w:tcPr>
            <w:tcW w:w="26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2000 тыс.м3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(2000 тыс.м3)</w:t>
            </w:r>
          </w:p>
        </w:tc>
        <w:tc>
          <w:tcPr>
            <w:tcW w:w="26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29,0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автотранспорт</w:t>
            </w:r>
          </w:p>
        </w:tc>
      </w:tr>
      <w:tr>
        <w:trPr/>
        <w:tc>
          <w:tcPr>
            <w:tcW w:w="20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песок</w:t>
            </w:r>
          </w:p>
        </w:tc>
        <w:tc>
          <w:tcPr>
            <w:tcW w:w="21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Карьер «Ильмово»</w:t>
            </w:r>
          </w:p>
        </w:tc>
        <w:tc>
          <w:tcPr>
            <w:tcW w:w="26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624 тыс.м3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(1417,8 тыс.м3)</w:t>
            </w:r>
          </w:p>
        </w:tc>
        <w:tc>
          <w:tcPr>
            <w:tcW w:w="26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31,2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автотранспорт</w:t>
            </w:r>
          </w:p>
        </w:tc>
      </w:tr>
    </w:tbl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Укладка монолитного бетона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Для доставки бетонной смеси к объекту строительства проектом предусмотрено использование автобетоносмесителей с емкостью барабана 5-6 м3. Автобетоносмесители обеспечивают максимально возможное сохранение свойств бетонной смеси: исключают попадание в смесь атмосферных  осадков, не нарушают ее однородности, исключают потери раствора в пути, обеспечивают предохранение от вредного воздействия положительных и отрицательных температур, а также ветра и солнечных лучей. Использование автобетоносмесителей позволяет организовать постепенную выдачу бетонной смеси.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Подача бетонной смеси к месту укладки производится автобетононасосами и переставными манипуляторами автономного действия.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Опалубка и арматура непосредственно перед бетонированием должны быть очищены от мусора, грязи и отслаивающейся ржавчины. Лицевые поверхности металлической опалубки должны быть покрыты смазкой.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Горизонтальные поверхности ранее уложенного бетона монолитных конструкций перед бетонированием следующего яруса или конструкции должны быть очищены от грязи, цементной пленки и промыты водой, а оставшаяся на поверхности ранее уложенного бетона вода должна быть тщательно удалена.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Бетонирование конструкций должно сопровождаться записями в журнале бетонных работ.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При бетонировании конструкций используются: автобетононасос </w:t>
      </w:r>
      <w:r>
        <w:rPr>
          <w:rFonts w:cs="Times New Roman" w:ascii="Times New Roman" w:hAnsi="Times New Roman"/>
          <w:sz w:val="24"/>
          <w:szCs w:val="24"/>
          <w:lang w:val="en-US"/>
        </w:rPr>
        <w:t>Putzmeister</w:t>
      </w:r>
      <w:r>
        <w:rPr>
          <w:rFonts w:cs="Times New Roman" w:ascii="Times New Roman" w:hAnsi="Times New Roman"/>
          <w:sz w:val="24"/>
          <w:szCs w:val="24"/>
        </w:rPr>
        <w:t>, бетононасос стационарный, автобетононасос с раздаточной стрелой БН-80-31, бетоноукладочный комплекс на базе башенного строительного крана НВК-160.1, автобетоносмесители СБ-92.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Арматурные работы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Армирование конструкций производится отдельными стержнями, плоскими каркасами, поддерживающими вертикальными и горизонтальными каркасами.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Арматурные каркасы и сетки необходимо собирать на стендах укрупнительной сборки с использованием необходимых кондукторов, комплектовать в пакеты.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Проектное положение арматурных стержней и сеток должно обеспечиваться правильной установкой поддерживающих устройств, шаблонов, фиксаторов, прокладок и подставок. В качестве подставок не могут быть применены обрезки арматуры, деревянные бруски, куски кирпича, щебня, гравия.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Приемка смонтированной арматуры, всех стыковых соединений должна проводиться до укладки бетонной смеси и оформляться актом на скрытые работы.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Установка закладных деталей</w:t>
      </w:r>
    </w:p>
    <w:p>
      <w:pPr>
        <w:pStyle w:val="ListParagraph"/>
        <w:spacing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Установка закладных деталей выполняется одновременно с монтажом арматуры.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Монтаж металлических конструкций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Работы по монтажу строительных металлоконструкций следует производить по утвержденному проекту производства работ, в котором должны быть предусмотрены: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последовательность установки конструкций,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мероприятия, обеспечивающие требуемую точность установки,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пространственную неизменяемость конструкций в процессе их установки в проектное положение,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устойчивость конструкций и частей здания в процессе возведения,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степень укрупнения конструкций и безопасные условия труда.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Объемы указаны без учета наплавляемого металла на стадии разработки чертежей КМ.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Кирпичная кладка</w:t>
      </w:r>
    </w:p>
    <w:p>
      <w:pPr>
        <w:pStyle w:val="ListParagraph"/>
        <w:spacing w:before="0" w:after="0"/>
        <w:ind w:firstLine="709"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Кирпичная кладка выполняется на цементно-песчаном растворе М100 и армируется сеткой 5ВрI 100х100 через 4 ряда кладки по высоте (2,8 кг/м2). По требованию Заказчика кладка выполняется с уширенным вертикальным швом 50 мм.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Гидроизоляционные работы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Технологии производства гидроизоляционных работ и материалы должны обеспечивать качественную гидроизоляцию бетонных и металлических поверхностей в условиях влажности и отрицательных температур. Гидроизоляционные материалы должны удовлетворять требованиям действующих технических условий.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 производстве работ в зимнее время руководствоваться требованиями СП 70.13330.2012 (п.п. 5.11.1-5.11.3), а также рекомендациями ГСН 81-05-02-2007 в части использования специальных методов производства строительно-монтажных работ при отрицательной температуре наружного воздуха.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 заполнении пазух котлована бетоном и выполнении обратной засыпки, необходимо обеспечить сохранность гидроизоляции. Данное требование должно быть учтено при разработке ППР.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Отделочные работы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Работы по нанесению защитных покрытий следует выполнять при температуре окружающего воздуха и защищаемых поверхностей в соответствии с требованиями СНиП 3.04.01-87 «Изоляционные и отделочные покрытия», а также в соответствии с утвержденным проектом производства работ, инструкций и руководств по применению защитных покрытий предприятий-изготовителей, другой технологической документации, утвержденной в установленном порядке.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До начала отделочных работ должны быть произведены следующие работы: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выполнена защита отделываемых помещений от атмосферных осадков,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устроены гидроизоляция, тепло-, звукоизоляция и выравнивающие стяжки перекрытий,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загерметизированы швы между блоками и панелями, заделаны и изолированы места сопряжений оконных, дверных и балконных блоков,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остеклены световые проемы,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смонтированы закладные изделия,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проведены испытания систем тепловодоснабжения и отопления.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Поверхности, подлежащие отделке, должны быть очищены и обеспылены в соответствии со СНиП 3.04.01-87 «Изоляционные и отделочные покрытия» и в соответствии с техническими условиями на применяемые материалы.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Подготовку поверхностей и нанесение материалов, примененных в проекте, выполнять согласно рекомендациям фирм-производителей.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Все отделочные работы выполнять после производства всех видов строительных, монтажных работ и прокладки коммуникаций.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Отделочные составы и мастики следует готовить централизованно. При их приготовлении на строительной площадке необходимо использовать для этих целей помещения, оборудованные вентиляцией. Помещения должны быть обеспечены безвредными моющими средствами и теплой водой.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Отделка здания выполняется в соответствии с проектной документацией и проектом производства работ с учетом требований действующих нормативных документов, инструкций и руководств по применению отделочных материалов предприятий-изготовителей, другой технологической документации, утвержденной в установленном порядке.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spacing w:before="0" w:after="2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bd55d0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bd55d0"/>
    <w:pPr>
      <w:spacing w:before="0" w:after="200"/>
      <w:ind w:left="720"/>
      <w:contextualSpacing/>
    </w:pPr>
    <w:rPr/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bd55d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cf2dc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Application>LibreOffice/7.6.0.3$Windows_X86_64 LibreOffice_project/69edd8b8ebc41d00b4de3915dc82f8f0fc3b6265</Application>
  <AppVersion>15.0000</AppVersion>
  <Pages>4</Pages>
  <Words>1057</Words>
  <Characters>7904</Characters>
  <CharactersWithSpaces>8865</CharactersWithSpaces>
  <Paragraphs>96</Paragraphs>
  <Company>VNIPIET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2022-04-06T14:59:00Z</dcterms:created>
  <dc:creator>Белоус Лидия Николаевна</dc:creator>
  <dc:description/>
  <dc:language>ru-RU</dc:language>
  <cp:lastModifiedBy/>
  <cp:lastPrinted>2019-10-16T13:43:00Z</cp:lastPrinted>
  <dcterms:modified xsi:type="dcterms:W3CDTF">2024-03-11T10:48:00Z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