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>Компетенция «Интернет вещей»</w:t>
      </w:r>
    </w:p>
    <w:p>
      <w:pPr>
        <w:pStyle w:val="2"/>
        <w:spacing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auto"/>
        </w:rPr>
        <w:t>Правила обработки и номенклатура изделий (приложение к модулям «В» и «Г» секретного задания)</w:t>
      </w:r>
    </w:p>
    <w:p>
      <w:pPr>
        <w:pStyle w:val="Style21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Кодировка деталей и координатная пластина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В данном конкурсном задании в качестве деталей используются специализированные цилиндрические контейнеры, имитирующие элементы аккумуляторной батареи </w:t>
      </w:r>
      <w:r>
        <w:rPr>
          <w:rFonts w:cs="Calibri" w:cstheme="minorHAnsi"/>
          <w:color w:val="000000"/>
          <w:sz w:val="24"/>
          <w:szCs w:val="24"/>
        </w:rPr>
        <w:t>(на конкретном чемпионате вместо цилиндрических контейнеров могут использоваться матовые пластиковые шарики сопоставимого размера).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Данные контейнеры предназначены для установки в магазины – специализированные держатели с ячейками для вертикальной установки контейнеров и имеющие размер от 2х3 до 6х6 ячеек. Магазины имитируют собой шасси аккумуляторной батареи разной ёмкости в зависимости от количества доступных ячеек.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В зависимости от варианта конкурсного задания одна из угловых ячеек шасси батареи может быть занята площадкой для размещения </w:t>
      </w:r>
      <w:r>
        <w:rPr>
          <w:rFonts w:cs="Calibri" w:cstheme="minorHAnsi"/>
          <w:color w:val="000000"/>
          <w:sz w:val="24"/>
          <w:szCs w:val="24"/>
          <w:lang w:val="en-US"/>
        </w:rPr>
        <w:t>QR</w:t>
      </w:r>
      <w:r>
        <w:rPr>
          <w:rFonts w:cs="Calibri" w:cstheme="minorHAnsi"/>
          <w:color w:val="000000"/>
          <w:sz w:val="24"/>
          <w:szCs w:val="24"/>
        </w:rPr>
        <w:t xml:space="preserve">-кода (или </w:t>
      </w:r>
      <w:r>
        <w:rPr>
          <w:rFonts w:cs="Calibri" w:cstheme="minorHAnsi"/>
          <w:color w:val="000000"/>
          <w:sz w:val="24"/>
          <w:szCs w:val="24"/>
          <w:lang w:val="en-US"/>
        </w:rPr>
        <w:t>AR</w:t>
      </w:r>
      <w:r>
        <w:rPr>
          <w:rFonts w:cs="Calibri" w:cstheme="minorHAnsi"/>
          <w:color w:val="000000"/>
          <w:sz w:val="24"/>
          <w:szCs w:val="24"/>
        </w:rPr>
        <w:t>-метки, линейчатого штрих-кода любых других), который дает возможность идентифицировать батарею. Всего для обработки предлагается не менее 20 уникальных кодов батарей.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Магазин (шасси аккумуляторной батареи) предназначен для установки поверх координатной пластины, которая имеет специальные гнезда и предназначена для точной и надежной фиксации расположения магазина в пространстве.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Вместо шасси с ячейками для размещения элементов, может использоваться рамка соответствующей формы, охватывающая аналогичное количество ячеек на координатной пластине. В этом случае элементы уставливаются в доступные гнезда координатной пластины, а рамка ограничивает область их установки.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Координатная пластина устанавливается в рабочей зоне роботов и составлена из ячеек 40 х 40 мм с интервалом 10 мм между ячейками. В зависимости от конкурсного задания размер координатной пластины может варьироваться от 5х2 до 6х6 ячеек. 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По окончанию обработки заданий созданное приложение должно выдать список обслуженных аккумуляторов с указанием степени пригодности батареи к использованию.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Параметры текущего конкурсного задания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Используемые в задании размеры магазина (подчеркнуть): 2х3, 2х4, 2х5, 2х6, 3х3, 3х4.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Позиция магазина на координатной пластине (подчеркнуть): переменная, фиксированная. 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Если позиция магазина фиксированная, то ячейка </w:t>
      </w:r>
      <w:r>
        <w:rPr>
          <w:rFonts w:cs="Calibri" w:cstheme="minorHAnsi"/>
          <w:color w:val="000000"/>
          <w:sz w:val="24"/>
          <w:szCs w:val="24"/>
          <w:lang w:val="en-US"/>
        </w:rPr>
        <w:t>L</w:t>
      </w:r>
      <w:r>
        <w:rPr>
          <w:rFonts w:cs="Calibri" w:cstheme="minorHAnsi"/>
          <w:color w:val="000000"/>
          <w:sz w:val="24"/>
          <w:szCs w:val="24"/>
        </w:rPr>
        <w:t xml:space="preserve">0 размещается в координатах Х:____, </w:t>
      </w:r>
      <w:r>
        <w:rPr>
          <w:rFonts w:cs="Calibri" w:cstheme="minorHAnsi"/>
          <w:color w:val="000000"/>
          <w:sz w:val="24"/>
          <w:szCs w:val="24"/>
          <w:lang w:val="en-US"/>
        </w:rPr>
        <w:t>Y</w:t>
      </w:r>
      <w:r>
        <w:rPr>
          <w:rFonts w:cs="Calibri" w:cstheme="minorHAnsi"/>
          <w:color w:val="000000"/>
          <w:sz w:val="24"/>
          <w:szCs w:val="24"/>
        </w:rPr>
        <w:t>:____.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Ориентация магазина на координатной пластине (подчеркнуть): фиксированная, свободная.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Если ориентация магазина фиксированная, то ячейка </w:t>
      </w:r>
      <w:r>
        <w:rPr>
          <w:rFonts w:cs="Calibri" w:cstheme="minorHAnsi"/>
          <w:color w:val="000000"/>
          <w:sz w:val="24"/>
          <w:szCs w:val="24"/>
          <w:lang w:val="en-US"/>
        </w:rPr>
        <w:t>L</w:t>
      </w:r>
      <w:r>
        <w:rPr>
          <w:rFonts w:cs="Calibri" w:cstheme="minorHAnsi"/>
          <w:color w:val="000000"/>
          <w:sz w:val="24"/>
          <w:szCs w:val="24"/>
        </w:rPr>
        <w:t>0 размещается в направлении на: север, юг, запад, восток.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Пример установки шасси аккумулятрной батареи на координатную пластину приведен в документе «Описание производственного процесса».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Параметры объектов</w:t>
      </w:r>
    </w:p>
    <w:p>
      <w:pPr>
        <w:pStyle w:val="Normal"/>
        <w:keepNext w:val="true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Пример кодировки деталей (соответствие цвета коду) приведен в таблице</w:t>
      </w:r>
    </w:p>
    <w:tbl>
      <w:tblPr>
        <w:tblStyle w:val="af4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9"/>
        <w:gridCol w:w="1309"/>
        <w:gridCol w:w="1489"/>
        <w:gridCol w:w="1487"/>
        <w:gridCol w:w="1489"/>
        <w:gridCol w:w="1489"/>
        <w:gridCol w:w="1488"/>
      </w:tblGrid>
      <w:tr>
        <w:trPr>
          <w:trHeight w:val="1180" w:hRule="atLeast"/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Вид детали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mc:AlternateContent>
                <mc:Choice Requires="wpg">
                  <w:drawing>
                    <wp:anchor behindDoc="0" distT="0" distB="28575" distL="0" distR="19050" simplePos="0" locked="0" layoutInCell="0" allowOverlap="1" relativeHeight="2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125095</wp:posOffset>
                      </wp:positionV>
                      <wp:extent cx="4191000" cy="466725"/>
                      <wp:effectExtent l="6350" t="6985" r="6985" b="6350"/>
                      <wp:wrapNone/>
                      <wp:docPr id="1" name="Группа 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1120" cy="466560"/>
                                <a:chOff x="0" y="0"/>
                                <a:chExt cx="4191120" cy="466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46620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866880" y="0"/>
                                  <a:ext cx="46620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1809720" y="0"/>
                                  <a:ext cx="46656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2782080" y="0"/>
                                  <a:ext cx="46620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3724920" y="0"/>
                                  <a:ext cx="46620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Группа 7" style="position:absolute;margin-left:11.05pt;margin-top:9.85pt;width:330pt;height:36.75pt" coordorigin="221,197" coordsize="6600,735">
                      <v:oval id="shape_0" ID="Овал 1" path="l-2147483648,-2147483643l-2147483628,-2147483627l-2147483648,-2147483643l-2147483626,-2147483625xe" fillcolor="white" stroked="t" o:allowincell="f" style="position:absolute;left:221;top:197;width:733;height:734;mso-wrap-style:none;v-text-anchor:middle">
                        <v:fill o:detectmouseclick="t" type="solid" color2="black"/>
                        <v:stroke color="black" weight="12600" joinstyle="miter" endcap="flat"/>
                        <w10:wrap type="none"/>
                      </v:oval>
                      <v:oval id="shape_0" ID="Овал 4" path="l-2147483648,-2147483643l-2147483628,-2147483627l-2147483648,-2147483643l-2147483626,-2147483625xe" fillcolor="#00b050" stroked="t" o:allowincell="f" style="position:absolute;left:1586;top:197;width:733;height:734;mso-wrap-style:none;v-text-anchor:middle">
                        <v:fill o:detectmouseclick="t" type="solid" color2="#ff4faf"/>
                        <v:stroke color="black" weight="12600" joinstyle="miter" endcap="flat"/>
                        <w10:wrap type="none"/>
                      </v:oval>
                      <v:oval id="shape_0" ID="Овал 6" path="l-2147483648,-2147483643l-2147483628,-2147483627l-2147483648,-2147483643l-2147483626,-2147483625xe" fillcolor="yellow" stroked="t" o:allowincell="f" style="position:absolute;left:3071;top:197;width:734;height:734;mso-wrap-style:none;v-text-anchor:middle">
                        <v:fill o:detectmouseclick="t" type="solid" color2="blue"/>
                        <v:stroke color="black" weight="12600" joinstyle="miter" endcap="flat"/>
                        <w10:wrap type="none"/>
                      </v:oval>
                      <v:oval id="shape_0" ID="Овал 7" path="l-2147483648,-2147483643l-2147483628,-2147483627l-2147483648,-2147483643l-2147483626,-2147483625xe" fillcolor="red" stroked="t" o:allowincell="f" style="position:absolute;left:4602;top:197;width:733;height:734;mso-wrap-style:none;v-text-anchor:middle">
                        <v:fill o:detectmouseclick="t" type="solid" color2="aqua"/>
                        <v:stroke color="black" weight="12600" joinstyle="miter" endcap="flat"/>
                        <w10:wrap type="none"/>
                      </v:oval>
                      <v:oval id="shape_0" ID="Овал 5" path="l-2147483648,-2147483643l-2147483628,-2147483627l-2147483648,-2147483643l-2147483626,-2147483625xe" fillcolor="#00b0f0" stroked="t" o:allowincell="f" style="position:absolute;left:6087;top:197;width:733;height:734;mso-wrap-style:none;v-text-anchor:middle">
                        <v:fill o:detectmouseclick="t" type="solid" color2="#ff4f0f"/>
                        <v:stroke color="black" weight="12600" joinstyle="miter" endcap="flat"/>
                        <w10:wrap type="none"/>
                      </v:oval>
                    </v:group>
                  </w:pict>
                </mc:Fallback>
              </mc:AlternateConten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48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488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Цвет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белый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зеленый</w:t>
            </w:r>
          </w:p>
        </w:tc>
        <w:tc>
          <w:tcPr>
            <w:tcW w:w="148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желтый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красный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синий</w:t>
            </w:r>
          </w:p>
        </w:tc>
        <w:tc>
          <w:tcPr>
            <w:tcW w:w="1488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15" w:hRule="atLeast"/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Код детали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1488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Тип детали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Пустое гнездо</w:t>
            </w:r>
          </w:p>
        </w:tc>
        <w:tc>
          <w:tcPr>
            <w:tcW w:w="148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Полностью исправный элемент</w:t>
            </w:r>
          </w:p>
        </w:tc>
        <w:tc>
          <w:tcPr>
            <w:tcW w:w="148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Частично исправный элемент</w:t>
            </w:r>
          </w:p>
        </w:tc>
        <w:tc>
          <w:tcPr>
            <w:tcW w:w="148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Неисправный элемент</w:t>
            </w:r>
          </w:p>
        </w:tc>
        <w:tc>
          <w:tcPr>
            <w:tcW w:w="148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Новый элемент (для замены)</w:t>
            </w:r>
          </w:p>
        </w:tc>
        <w:tc>
          <w:tcPr>
            <w:tcW w:w="14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Рисунок 1. Кодировка деталей, имитирующих элементы аккумуляторной батареи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keepNext w:val="true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Пример кодировки магазина (шасси аккумуляторной батареи)</w:t>
      </w:r>
    </w:p>
    <w:tbl>
      <w:tblPr>
        <w:tblStyle w:val="af4"/>
        <w:tblW w:w="4901" w:type="dxa"/>
        <w:jc w:val="left"/>
        <w:tblInd w:w="4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3"/>
        <w:gridCol w:w="991"/>
        <w:gridCol w:w="993"/>
        <w:gridCol w:w="993"/>
        <w:gridCol w:w="991"/>
      </w:tblGrid>
      <w:tr>
        <w:trPr>
          <w:trHeight w:val="821" w:hRule="atLeast"/>
          <w:cantSplit w:val="true"/>
        </w:trPr>
        <w:tc>
          <w:tcPr>
            <w:tcW w:w="9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0</w:t>
            </w:r>
          </w:p>
        </w:tc>
        <w:tc>
          <w:tcPr>
            <w:tcW w:w="991" w:type="dxa"/>
            <w:tcBorders/>
            <w:shd w:color="auto" w:fill="00B0F0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Calibri" w:cstheme="minorHAns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  <w:tc>
          <w:tcPr>
            <w:tcW w:w="993" w:type="dxa"/>
            <w:tcBorders/>
            <w:shd w:color="auto" w:fill="00B0F0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Calibri" w:cstheme="minorHAns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2</w:t>
            </w:r>
          </w:p>
        </w:tc>
        <w:tc>
          <w:tcPr>
            <w:tcW w:w="993" w:type="dxa"/>
            <w:tcBorders/>
            <w:shd w:color="auto" w:fill="00B0F0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Calibri" w:cstheme="minorHAns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en-US" w:eastAsia="en-US" w:bidi="ar-SA"/>
              </w:rPr>
              <w:t>Line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ru-RU" w:eastAsia="en-US" w:bidi="ar-SA"/>
              </w:rPr>
              <w:t xml:space="preserve"> 0</w:t>
            </w:r>
          </w:p>
        </w:tc>
      </w:tr>
      <w:tr>
        <w:trPr>
          <w:trHeight w:val="821" w:hRule="atLeast"/>
          <w:cantSplit w:val="true"/>
        </w:trPr>
        <w:tc>
          <w:tcPr>
            <w:tcW w:w="93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" w:ascii="Times New Roman" w:hAnsi="Times New Roman"/>
                <w:i/>
                <w:iCs/>
                <w:kern w:val="0"/>
                <w:sz w:val="32"/>
                <w:szCs w:val="32"/>
                <w:lang w:val="ru-RU" w:eastAsia="en-US" w:bidi="ar-SA"/>
              </w:rPr>
            </w:r>
          </w:p>
        </w:tc>
        <w:tc>
          <w:tcPr>
            <w:tcW w:w="991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4</w:t>
            </w:r>
          </w:p>
        </w:tc>
        <w:tc>
          <w:tcPr>
            <w:tcW w:w="993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5</w:t>
            </w:r>
          </w:p>
        </w:tc>
        <w:tc>
          <w:tcPr>
            <w:tcW w:w="993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6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en-US" w:eastAsia="en-US" w:bidi="ar-SA"/>
              </w:rPr>
              <w:t>Line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ru-RU" w:eastAsia="en-US" w:bidi="ar-SA"/>
              </w:rPr>
              <w:t xml:space="preserve"> 1</w:t>
            </w:r>
          </w:p>
        </w:tc>
      </w:tr>
    </w:tbl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Рисунок 2</w:t>
        <w:softHyphen/>
        <w:softHyphen/>
        <w:softHyphen/>
        <w:softHyphen/>
        <w:t>.  Магазин деталей, имитирующий шасси аккумуляторной батареи емкостью 2х3 ячейки.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Примечание: Тип шасси аккумуляторной батареи задается ячейкой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0. В задании различаются два типа батарей (0 - «Росатом», 1 — «</w:t>
      </w:r>
      <w:r>
        <w:rPr>
          <w:sz w:val="24"/>
          <w:szCs w:val="24"/>
          <w:lang w:val="en-US"/>
        </w:rPr>
        <w:t>CATL</w:t>
      </w:r>
      <w:r>
        <w:rPr>
          <w:sz w:val="24"/>
          <w:szCs w:val="24"/>
        </w:rPr>
        <w:t>»).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Правила обработки заданий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Правила обработки регламентируют порядок операций по модификации состава батарейного блока по результатам диагностики аккумуляторной батареи. Правила применяются «сверху-вниз», то есть правило с меньшим номером превалирует над правилом с большим номером в случае конфликта содержания правила или предписываемых действий.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Примечание: В задании существует правило с самым низким приоритетом, что батарея со всеми исправными ячейками не требует обслуживания и система должна вывести сообщение об исправности батареи. Оно применяется, если все остальные правила обработки не подходят к текущей ситуации.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Правила обработки</w:t>
      </w:r>
    </w:p>
    <w:tbl>
      <w:tblPr>
        <w:tblW w:w="495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59"/>
        <w:gridCol w:w="1961"/>
        <w:gridCol w:w="3640"/>
        <w:gridCol w:w="4200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батареи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Детектируемая ситуация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Требуемое действие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2х3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Производитель: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любой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неисправных ячеек любого типа батареи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батарею неремонтопригодной.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сообщение о неремонтопригодности батареи.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2х3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Производитель: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Росатом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неисправных ячеек, остальные полностью исправные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батарею ремонтопригодной.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замену неисправных ячеек.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сообщение о завершении ремонта.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2х3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Производитель: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CATL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неисправных ячеек, не более 2х частично исправных ячеек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батарею не требующей обслуживания.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сообщение о пригодности батареи к использованию с 95% (одна ячейка) или 90% (две ячейки) остаточного ресурса.</w:t>
            </w:r>
          </w:p>
        </w:tc>
      </w:tr>
    </w:tbl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720" w:right="720" w:gutter="0" w:header="0" w:top="720" w:footer="708" w:bottom="765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59053922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1e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next w:val="Normal"/>
    <w:link w:val="21"/>
    <w:qFormat/>
    <w:rsid w:val="004376f7"/>
    <w:pPr>
      <w:keepNext w:val="true"/>
      <w:widowControl/>
      <w:suppressAutoHyphens w:val="true"/>
      <w:bidi w:val="0"/>
      <w:spacing w:before="240" w:after="120"/>
      <w:jc w:val="left"/>
      <w:outlineLvl w:val="1"/>
    </w:pPr>
    <w:rPr>
      <w:rFonts w:ascii="Helvetica" w:hAnsi="Helvetica" w:eastAsia="Arial Unicode MS" w:cs="Arial Unicode MS"/>
      <w:b/>
      <w:bCs/>
      <w:color w:val="000000"/>
      <w:kern w:val="0"/>
      <w:sz w:val="28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qFormat/>
    <w:rsid w:val="004376f7"/>
    <w:rPr>
      <w:rFonts w:ascii="Helvetica" w:hAnsi="Helvetica" w:eastAsia="Arial Unicode MS" w:cs="Arial Unicode MS"/>
      <w:b/>
      <w:bCs/>
      <w:color w:val="000000"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e10064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10064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0615c"/>
    <w:pPr>
      <w:spacing w:before="0" w:after="160"/>
      <w:ind w:left="720" w:hanging="0"/>
      <w:contextualSpacing/>
    </w:pPr>
    <w:rPr/>
  </w:style>
  <w:style w:type="paragraph" w:styleId="Style21" w:customStyle="1">
    <w:name w:val="Текстовый блок"/>
    <w:qFormat/>
    <w:rsid w:val="007c01ba"/>
    <w:pPr>
      <w:widowControl/>
      <w:suppressAutoHyphens w:val="true"/>
      <w:bidi w:val="0"/>
      <w:spacing w:lineRule="auto" w:line="288" w:before="12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eastAsia="ru-RU" w:val="ru-RU" w:bidi="ar-SA"/>
    </w:rPr>
  </w:style>
  <w:style w:type="paragraph" w:styleId="Style22" w:customStyle="1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4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726f5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e27" w:customStyle="1">
    <w:name w:val="С числами"/>
    <w:qFormat/>
    <w:rsid w:val="007c01b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1b348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4871</TotalTime>
  <Application>LibreOffice/7.4.3.2$Windows_X86_64 LibreOffice_project/1048a8393ae2eeec98dff31b5c133c5f1d08b890</Application>
  <AppVersion>15.0000</AppVersion>
  <Pages>3</Pages>
  <Words>581</Words>
  <Characters>4000</Characters>
  <CharactersWithSpaces>4503</CharactersWithSpaces>
  <Paragraphs>83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2017-05-15T15:33:00Z</dcterms:created>
  <dc:creator>it</dc:creator>
  <dc:description/>
  <dc:language>ru-RU</dc:language>
  <cp:lastModifiedBy/>
  <cp:lastPrinted>2020-12-05T06:08:00Z</cp:lastPrinted>
  <dcterms:modified xsi:type="dcterms:W3CDTF">2024-02-25T04:05:04Z</dcterms:modified>
  <cp:revision>182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