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714189" w:rsidRDefault="0071418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B4673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4CE7">
        <w:rPr>
          <w:rFonts w:ascii="Times New Roman" w:hAnsi="Times New Roman" w:cs="Times New Roman"/>
          <w:sz w:val="72"/>
          <w:szCs w:val="72"/>
        </w:rPr>
        <w:t>ЮВЕЛИРНОЕ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038B9F6" w:rsidR="001B15DE" w:rsidRDefault="00674CE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B5F4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56B09D26" w14:textId="77777777" w:rsidR="00E6760E" w:rsidRPr="009C4B59" w:rsidRDefault="00E6760E" w:rsidP="00E676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Ювелирное дело</w:t>
      </w:r>
    </w:p>
    <w:p w14:paraId="0381672F" w14:textId="6A9EB11D" w:rsidR="00E6760E" w:rsidRPr="00425FBC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6602189" w14:textId="77777777" w:rsidR="00E6760E" w:rsidRPr="005F4B97" w:rsidRDefault="00E6760E" w:rsidP="00E6760E">
      <w:pPr>
        <w:spacing w:after="0" w:line="36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Профессия ювелира статусная, престижна и очень востребована. С каждым годом профессия видоизменяется, внедряются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высоких технологий, </w:t>
      </w:r>
      <w:r w:rsidRPr="005F4B97">
        <w:rPr>
          <w:rFonts w:ascii="Times New Roman" w:hAnsi="Times New Roman" w:cs="Times New Roman"/>
          <w:sz w:val="28"/>
          <w:szCs w:val="28"/>
        </w:rPr>
        <w:t>и она ст</w:t>
      </w:r>
      <w:r>
        <w:rPr>
          <w:rFonts w:ascii="Times New Roman" w:hAnsi="Times New Roman" w:cs="Times New Roman"/>
          <w:sz w:val="28"/>
          <w:szCs w:val="28"/>
        </w:rPr>
        <w:t>ановится актуальнее. В примерах истории</w:t>
      </w:r>
      <w:r w:rsidRPr="005F4B97">
        <w:rPr>
          <w:rFonts w:ascii="Times New Roman" w:hAnsi="Times New Roman" w:cs="Times New Roman"/>
          <w:sz w:val="28"/>
          <w:szCs w:val="28"/>
        </w:rPr>
        <w:t xml:space="preserve"> многие старинные украшения имеют высокую художественную ценность, приравниваются к бесценным произведениям искусства и считаются шедеврами. Сегодня же мастера ювелирного дела условно делятся на два типа. Одни изготавливают украшения на предприятиях, в основном серийные или массового производства, специализируясь на производственных процессах (монтировка, пайка, закрепка и т.д.). Другие – работают в студиях и мастерских с индивидуальными заказами, разрабатывают эскизы и выполняют эксклюзивные ювелирные изделия, сочетая в себе умения мастера ювелира и художника-дизайнера.  </w:t>
      </w:r>
    </w:p>
    <w:p w14:paraId="00F345BD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Ювелир может изготавливать эксклюзивные изделия, как по собственным эскизам, при прямом контакте с клиентом, так и в команде с ювелирным дизайнером, по созданным им чертежам и эскизам. Проекты могут выполняться как на бумаге, так и при помощи компьютерных программ моделирования. Как правило, ювелир работает по детализированным чертежам, поэтому он должен уметь правильно интерпретировать такие чертежи для создания ювелирных изделий в соответствии с замыслом. Отличные коммуникативные навыки и достаточно глубокие знания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97">
        <w:rPr>
          <w:rFonts w:ascii="Times New Roman" w:hAnsi="Times New Roman" w:cs="Times New Roman"/>
          <w:sz w:val="28"/>
          <w:szCs w:val="28"/>
        </w:rPr>
        <w:t xml:space="preserve">многих областях ювелирного производства и дизайна имеют решающее значение для понимания того, какое изделие должно быть выполнено. </w:t>
      </w:r>
    </w:p>
    <w:p w14:paraId="0FC70348" w14:textId="77777777" w:rsidR="00E6760E" w:rsidRPr="005F4B97" w:rsidRDefault="00E6760E" w:rsidP="00E6760E">
      <w:pPr>
        <w:spacing w:after="0" w:line="36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От ювелира также может требоваться создание копии какого-либо изделия или применение ювелирных навыков для реставрации или ремонта существующего изделия.  </w:t>
      </w:r>
    </w:p>
    <w:p w14:paraId="60D5ADA8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При работе с драгоценными металлами от ювелира требуется точность, экономность и умение избегать неэффективного использования материалов. </w:t>
      </w:r>
      <w:r w:rsidRPr="005F4B97">
        <w:rPr>
          <w:rFonts w:ascii="Times New Roman" w:hAnsi="Times New Roman" w:cs="Times New Roman"/>
          <w:sz w:val="28"/>
          <w:szCs w:val="28"/>
        </w:rPr>
        <w:lastRenderedPageBreak/>
        <w:t xml:space="preserve">Такая работа требует высокого уровня профессионализма, внимания и концентрации.  </w:t>
      </w:r>
    </w:p>
    <w:p w14:paraId="0073FCD6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Всю работу над изделием ювелир может сделать самостоятельно, но возможно сотрудничество с другими специалистами. Это позволяет разделить производственные операции для лучшего управления временем и эффективности. Важно, чтобы ювелир понимал производственные процессы, даже если они не выполняются самостоятельно. Примером этого может быть передача третьей стороне для выполнения конкретной задачи или совместное использование рабочего пространства с другими производителями ювелирных изделий или техническими специалистами с другими отраслевыми навыками. </w:t>
      </w:r>
    </w:p>
    <w:p w14:paraId="7CB73DA9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В обязанности ювелира также входит соблюдение техники безопасности при использовании любого личного инструмента и инструмента общего пользования.  </w:t>
      </w:r>
    </w:p>
    <w:p w14:paraId="1CC564C6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Ювелирные изделия изготавливаются из драгоценных металлов и камней, которые имеют высокую стоимость. В связи с этим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B97">
        <w:rPr>
          <w:rFonts w:ascii="Times New Roman" w:hAnsi="Times New Roman" w:cs="Times New Roman"/>
          <w:sz w:val="28"/>
          <w:szCs w:val="28"/>
        </w:rPr>
        <w:t xml:space="preserve"> от ювелира требуются абсолютная порядочность и честность, а также осведомленность о мерах безопасности и правилах закупки, производства и сбыта драгоценных металлов, камней и готовых изделий. Независимо от того, работает ли он в составе производственной группы или в качестве самостоятельного производителя, ювелир должен хорошо понимать производственные затраты, чтобы иметь возможность достичь приемлемой продажной цены при сохранении прибыльности. </w:t>
      </w:r>
    </w:p>
    <w:p w14:paraId="5BB7BFFE" w14:textId="78B2BCAF" w:rsidR="00E6760E" w:rsidRPr="005F4B97" w:rsidRDefault="00E6760E" w:rsidP="00E6760E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5F4B97">
        <w:rPr>
          <w:rStyle w:val="ae"/>
          <w:color w:val="333333"/>
          <w:sz w:val="28"/>
          <w:szCs w:val="28"/>
          <w:bdr w:val="none" w:sz="0" w:space="0" w:color="auto" w:frame="1"/>
        </w:rPr>
        <w:t>Профес</w:t>
      </w:r>
      <w:r>
        <w:rPr>
          <w:rStyle w:val="ae"/>
          <w:color w:val="333333"/>
          <w:sz w:val="28"/>
          <w:szCs w:val="28"/>
          <w:bdr w:val="none" w:sz="0" w:space="0" w:color="auto" w:frame="1"/>
        </w:rPr>
        <w:t>сиональная деятельность ювелира</w:t>
      </w:r>
    </w:p>
    <w:p w14:paraId="334D58B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Для ювелира существует множество мест применения своего труда:</w:t>
      </w:r>
    </w:p>
    <w:p w14:paraId="3951AF2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заводы и фабрики по изготовлению ювелирных изделий;</w:t>
      </w:r>
    </w:p>
    <w:p w14:paraId="0DB99EB3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индивидуальные предприятия или компании по производству ювелирных или художественных авторских изделий</w:t>
      </w:r>
      <w:r w:rsidRPr="005F4B97">
        <w:rPr>
          <w:color w:val="333333"/>
          <w:sz w:val="28"/>
          <w:szCs w:val="28"/>
          <w:bdr w:val="none" w:sz="0" w:space="0" w:color="auto" w:frame="1"/>
        </w:rPr>
        <w:t>;</w:t>
      </w:r>
    </w:p>
    <w:p w14:paraId="2509F499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ломбарды;</w:t>
      </w:r>
    </w:p>
    <w:p w14:paraId="09F95492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ювелирные </w:t>
      </w:r>
      <w:r w:rsidRPr="005F4B97">
        <w:rPr>
          <w:color w:val="333333"/>
          <w:sz w:val="28"/>
          <w:szCs w:val="28"/>
          <w:bdr w:val="none" w:sz="0" w:space="0" w:color="auto" w:frame="1"/>
        </w:rPr>
        <w:t>магазины;</w:t>
      </w:r>
    </w:p>
    <w:p w14:paraId="3D2E275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lastRenderedPageBreak/>
        <w:t>мастерские по ремонту ювелирных изделий;</w:t>
      </w:r>
    </w:p>
    <w:p w14:paraId="2EA87805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экспертные бюро по оценке стоимости ювелирных изделий.</w:t>
      </w:r>
    </w:p>
    <w:p w14:paraId="101126DE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B97">
        <w:rPr>
          <w:rFonts w:ascii="Times New Roman" w:hAnsi="Times New Roman" w:cs="Times New Roman"/>
          <w:color w:val="000000"/>
          <w:sz w:val="28"/>
          <w:szCs w:val="28"/>
        </w:rPr>
        <w:t>В этой профессии можно выбрать наиболее привлекатель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ное для себя занятие – р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>аботать с металлом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любыми другими материалами, создавая изделия, или 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>создавать эскизы, заниматься 3D-моделированием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 или заниматься ремонтом и реставрацией изделий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D0CDE53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возможен путь самореализации через самозанятость и создание собственных коллекций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 xml:space="preserve"> украшений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BA0186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7D956C3" w14:textId="77777777" w:rsidR="00E6760E" w:rsidRPr="00425FBC" w:rsidRDefault="00E6760E" w:rsidP="00E6760E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7E22BAA" w14:textId="77777777" w:rsidR="00E6760E" w:rsidRPr="00916D34" w:rsidRDefault="00E6760E" w:rsidP="00E676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</w:t>
      </w:r>
      <w:r w:rsidRPr="00916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документов:</w:t>
      </w:r>
    </w:p>
    <w:p w14:paraId="6EC21E11" w14:textId="42EF7D9D" w:rsidR="00830AF5" w:rsidRPr="00916D34" w:rsidRDefault="00E6760E" w:rsidP="00916D34">
      <w:pPr>
        <w:pStyle w:val="1"/>
        <w:numPr>
          <w:ilvl w:val="0"/>
          <w:numId w:val="8"/>
        </w:numPr>
        <w:shd w:val="clear" w:color="auto" w:fill="FFFFFF"/>
        <w:spacing w:before="0" w:line="360" w:lineRule="auto"/>
        <w:ind w:left="0" w:firstLine="709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bookmarkStart w:id="1" w:name="_Hlk182582900"/>
      <w:r w:rsidRPr="00916D3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ФГОС СПО </w:t>
      </w:r>
      <w:r w:rsidR="00916D34" w:rsidRPr="00916D34">
        <w:rPr>
          <w:rFonts w:ascii="Times New Roman" w:eastAsia="Calibri" w:hAnsi="Times New Roman" w:cs="Times New Roman"/>
          <w:color w:val="auto"/>
          <w:sz w:val="28"/>
          <w:szCs w:val="28"/>
        </w:rPr>
        <w:t>54.01</w:t>
      </w:r>
      <w:r w:rsidRPr="00916D34">
        <w:rPr>
          <w:rFonts w:ascii="Times New Roman" w:eastAsia="Calibri" w:hAnsi="Times New Roman" w:cs="Times New Roman"/>
          <w:color w:val="auto"/>
          <w:sz w:val="28"/>
          <w:szCs w:val="28"/>
        </w:rPr>
        <w:t>.02 Ювелир (Приказ</w:t>
      </w:r>
      <w:r w:rsidR="00916D3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16D34" w:rsidRPr="00916D3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Минпросвещения</w:t>
      </w:r>
      <w:proofErr w:type="spellEnd"/>
      <w:r w:rsidR="00916D34" w:rsidRPr="00916D3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России от 27.11.2023 N 893</w:t>
      </w:r>
      <w:r w:rsidR="00916D34" w:rsidRPr="00916D3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;</w:t>
      </w:r>
    </w:p>
    <w:bookmarkEnd w:id="1"/>
    <w:p w14:paraId="18080582" w14:textId="77777777" w:rsidR="00E6760E" w:rsidRPr="00916D34" w:rsidRDefault="00E6760E" w:rsidP="00916D34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D34">
        <w:rPr>
          <w:rFonts w:ascii="Times New Roman" w:eastAsia="Calibri" w:hAnsi="Times New Roman" w:cs="Times New Roman"/>
          <w:sz w:val="28"/>
          <w:szCs w:val="28"/>
        </w:rPr>
        <w:t>Профессиональный стандарт 04.002 Специалист по техническим процессам художественной деятельности (Приказ Минтруда России от 08.09.2014 N 611н).</w:t>
      </w:r>
    </w:p>
    <w:p w14:paraId="06C7FAE9" w14:textId="77777777" w:rsidR="00E6760E" w:rsidRPr="004C3A04" w:rsidRDefault="00E6760E" w:rsidP="00E676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3A04">
        <w:rPr>
          <w:rFonts w:ascii="Times New Roman" w:eastAsia="Calibri" w:hAnsi="Times New Roman" w:cs="Times New Roman"/>
          <w:b/>
          <w:sz w:val="28"/>
          <w:szCs w:val="28"/>
        </w:rPr>
        <w:t>ЕТКС</w:t>
      </w:r>
      <w:r w:rsidRPr="004C3A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0F17657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тарифно-квалификационный справочник работ и профессий рабочих (ЕТКС),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г., в</w:t>
      </w: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ыпуск №61 ЕТКС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 Постановлением Минтруда РФ от 05.03.2004 N 40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A55BC34" w14:textId="77777777" w:rsidR="00E6760E" w:rsidRPr="007234AD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236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1621CD24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2B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ювелирные изделия, производимые в России, должны соответствовать требованиям отраслевого стандарта ГОСТ 117-3-002-95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5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«Ювелирные изделия из драгоценных металлов. Общие технические условия».</w:t>
      </w:r>
      <w:r w:rsidRPr="001B2B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Стандарт довольно объемный, но если кратко изложить его суть, то все изделия должны быть выполнены аккуратно, без видимых дефектов (трещин, царапин, сколов, швов на внешних поверхностях) и острых краев. Вставки должны быть надежно закреплены. </w:t>
      </w:r>
    </w:p>
    <w:p w14:paraId="29C7A509" w14:textId="77777777" w:rsidR="00E6760E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1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Квалификационные характеристики (</w:t>
      </w:r>
      <w:proofErr w:type="spellStart"/>
      <w:r w:rsidRPr="00F90142">
        <w:rPr>
          <w:rFonts w:ascii="Times New Roman" w:eastAsia="Calibri" w:hAnsi="Times New Roman" w:cs="Times New Roman"/>
          <w:b/>
          <w:sz w:val="28"/>
          <w:szCs w:val="28"/>
        </w:rPr>
        <w:t>профессиограмма</w:t>
      </w:r>
      <w:proofErr w:type="spellEnd"/>
      <w:r w:rsidRPr="00F90142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6B1324A1" w14:textId="77777777" w:rsidR="00E6760E" w:rsidRPr="00A30803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79595A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14:paraId="587136F0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Сплавы драгоценных металлов, применяемые для изготовления изделий, должны соответствовать требованиям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1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A55782C" w14:textId="77777777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30649</w:t>
      </w: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BEFE171" w14:textId="0F761BE4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19738-2015</w:t>
      </w:r>
    </w:p>
    <w:p w14:paraId="0CA85B09" w14:textId="68C651A3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22864-83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31B9177A" w14:textId="212CBAA4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24552-2014.</w:t>
      </w:r>
    </w:p>
    <w:p w14:paraId="24C6676F" w14:textId="5B95F196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28353.0-89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6A7AC512" w14:textId="23BA4143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30649-99</w:t>
      </w:r>
      <w:r w:rsidRPr="00F2632A">
        <w:rPr>
          <w:rFonts w:ascii="Times New Roman" w:hAnsi="Times New Roman"/>
          <w:sz w:val="28"/>
          <w:szCs w:val="28"/>
        </w:rPr>
        <w:t xml:space="preserve"> </w:t>
      </w:r>
    </w:p>
    <w:p w14:paraId="02E722C7" w14:textId="65AA7C90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6836-2002.</w:t>
      </w:r>
    </w:p>
    <w:p w14:paraId="782DDA98" w14:textId="4AD9731A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Р 53197-2008</w:t>
      </w:r>
    </w:p>
    <w:p w14:paraId="1228032B" w14:textId="77777777" w:rsidR="00E6760E" w:rsidRPr="00F2632A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F2632A">
        <w:rPr>
          <w:rFonts w:ascii="Times New Roman" w:eastAsia="Calibri" w:hAnsi="Times New Roman" w:cs="Times New Roman"/>
          <w:b/>
          <w:sz w:val="28"/>
          <w:szCs w:val="28"/>
        </w:rPr>
        <w:t xml:space="preserve">СанПин </w:t>
      </w:r>
    </w:p>
    <w:p w14:paraId="240E3C19" w14:textId="77777777" w:rsidR="00E6760E" w:rsidRPr="00F2632A" w:rsidRDefault="00E6760E" w:rsidP="00F2632A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Style w:val="af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СанПиН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2.2.4.3359-16</w:t>
      </w:r>
      <w:r w:rsidRPr="00F2632A">
        <w:t xml:space="preserve"> 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«Санитарно-эпидемиологические требования к физическим факторам на рабочих местах».</w:t>
      </w:r>
    </w:p>
    <w:p w14:paraId="51245CC1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СанПиН 2.1.2.2645-10 «Санитарно-эпидемиологические требования к условиям проживания в жилых зданиях и помещениях».</w:t>
      </w:r>
    </w:p>
    <w:p w14:paraId="7B073180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СН 2.2.4/2.1.8.562-96 «Шум на рабочих местах, в помещениях жилых, общественных зданий и на территории жилой застройки».</w:t>
      </w:r>
    </w:p>
    <w:p w14:paraId="5E02F016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СП 2.2.2.1327-03 «Гигиенические требования к организации технологических процессов, производственному оборудованию и рабочему инструменту».</w:t>
      </w:r>
    </w:p>
    <w:p w14:paraId="31C16E1C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6. СП 2.2.2.540-96 «Гигиенические требования к ручным инструментам и организации работ».</w:t>
      </w:r>
    </w:p>
    <w:p w14:paraId="64A9F426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7.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14:paraId="670836AF" w14:textId="77777777" w:rsidR="00E6760E" w:rsidRPr="00097059" w:rsidRDefault="00E6760E" w:rsidP="00E67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9705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 </w:t>
      </w:r>
      <w:r w:rsidRPr="00097059">
        <w:rPr>
          <w:rFonts w:ascii="Times New Roman" w:eastAsia="Calibri" w:hAnsi="Times New Roman" w:cs="Times New Roman"/>
          <w:b/>
          <w:sz w:val="28"/>
          <w:szCs w:val="28"/>
        </w:rPr>
        <w:t xml:space="preserve">СП (СНИП) </w:t>
      </w:r>
    </w:p>
    <w:p w14:paraId="4126D275" w14:textId="1B21342D" w:rsidR="00E6760E" w:rsidRPr="00F2632A" w:rsidRDefault="00E6760E" w:rsidP="00F2632A">
      <w:pPr>
        <w:pStyle w:val="a3"/>
        <w:keepNext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F2632A">
        <w:rPr>
          <w:rFonts w:ascii="Times New Roman" w:hAnsi="Times New Roman"/>
          <w:bCs/>
          <w:sz w:val="28"/>
          <w:szCs w:val="28"/>
        </w:rPr>
        <w:lastRenderedPageBreak/>
        <w:t>http://pravo.gov.ru/proxy/ips/?docbody=&amp;nd=102052228</w:t>
      </w:r>
    </w:p>
    <w:p w14:paraId="0964A827" w14:textId="77777777" w:rsidR="00E6760E" w:rsidRPr="00F2632A" w:rsidRDefault="00E6760E" w:rsidP="00F2632A">
      <w:pPr>
        <w:pStyle w:val="a3"/>
        <w:keepNext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F263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Федеральный закон от 26 июня 2008 г. N 102-ФЗ «Об обеспечении единства измерений».</w:t>
      </w:r>
    </w:p>
    <w:p w14:paraId="759384E1" w14:textId="77777777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263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2632A">
        <w:rPr>
          <w:rFonts w:ascii="Times New Roman" w:eastAsia="Times New Roman" w:hAnsi="Times New Roman"/>
          <w:sz w:val="28"/>
          <w:szCs w:val="28"/>
        </w:rPr>
        <w:t>о</w:t>
      </w:r>
      <w:r w:rsidRPr="00F2632A">
        <w:rPr>
          <w:rFonts w:ascii="Times New Roman" w:hAnsi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375DAC17" w14:textId="70D16D50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sz w:val="28"/>
          <w:szCs w:val="28"/>
        </w:rPr>
        <w:t>http://pravo.gov.ru/proxy/ips/?docbody=&amp;nd=102379326</w:t>
      </w:r>
      <w:r w:rsidRPr="00F2632A">
        <w:rPr>
          <w:rFonts w:ascii="Times New Roman" w:hAnsi="Times New Roman"/>
          <w:sz w:val="28"/>
          <w:szCs w:val="28"/>
          <w:lang w:eastAsia="ru-RU"/>
        </w:rPr>
        <w:t>4</w:t>
      </w:r>
      <w:r w:rsidRPr="00F263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Постановление Правительства Российской Федерации от 28 сентября 2000 г. № 731 «Об утверждении Правил учета и хранения драгоценных металлов, драгоценных камней и продукции из них, а также ведения соответствующей отчетности». </w:t>
      </w:r>
    </w:p>
    <w:p w14:paraId="1F9FCE0B" w14:textId="77777777" w:rsidR="00E6760E" w:rsidRPr="00F2632A" w:rsidRDefault="003073FB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hyperlink r:id="rId8" w:tgtFrame="_blank" w:history="1">
        <w:r w:rsidR="00E6760E" w:rsidRPr="00F2632A">
          <w:rPr>
            <w:rFonts w:ascii="Times New Roman" w:eastAsia="Times New Roman" w:hAnsi="Times New Roman"/>
            <w:sz w:val="28"/>
            <w:szCs w:val="28"/>
            <w:lang w:eastAsia="ru-RU"/>
          </w:rPr>
          <w:t>Приказ Минфина России от 09.12.2016 № 231н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</w:t>
        </w:r>
      </w:hyperlink>
      <w:r w:rsidR="00E6760E" w:rsidRPr="00F263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B02DBF" w14:textId="77777777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Постановление Правительства Российской Федерации от 6 мая 2016 г. № 394 «Об опробовании, анализе и клеймении ювелирных и других изделий из драгоценных металлов».</w:t>
      </w:r>
    </w:p>
    <w:p w14:paraId="11D7E99B" w14:textId="0F3D7773" w:rsidR="00E6760E" w:rsidRPr="00F2632A" w:rsidRDefault="00E6760E" w:rsidP="00E6760E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2632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2632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2632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 (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072500.02 «Ювелир»</w:t>
      </w:r>
      <w:r w:rsid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(утв. </w:t>
      </w:r>
      <w:r w:rsidRPr="00F263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приказом</w:t>
      </w:r>
      <w:r w:rsidRPr="00F26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Министерства образования и науки РФ от 2 августа 2013 г. № 722; Профессиональный стандарт 04.002 «Специалист по техническим процессам художественной деятельности» (Приказ Минтруда России от 08.09.2014 N 611н).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2632A" w:rsidRPr="00F2632A" w14:paraId="4E7165FF" w14:textId="77777777" w:rsidTr="00F2632A">
        <w:tc>
          <w:tcPr>
            <w:tcW w:w="529" w:type="pct"/>
            <w:shd w:val="clear" w:color="auto" w:fill="92D050"/>
          </w:tcPr>
          <w:p w14:paraId="2329A46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F947C4E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2632A" w:rsidRPr="00F2632A" w14:paraId="3621E040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6F62C12C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3A99B783" w14:textId="6E815C5B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уникальных художественных изделий из металлов различными способами обработки</w:t>
            </w:r>
          </w:p>
        </w:tc>
      </w:tr>
      <w:tr w:rsidR="00F2632A" w:rsidRPr="00F2632A" w14:paraId="61CA3FBA" w14:textId="77777777" w:rsidTr="00F2632A">
        <w:tc>
          <w:tcPr>
            <w:tcW w:w="529" w:type="pct"/>
            <w:shd w:val="clear" w:color="auto" w:fill="BFBFBF"/>
          </w:tcPr>
          <w:p w14:paraId="4CA4D1EA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A15CF9A" w14:textId="73C10A9D" w:rsidR="00E6760E" w:rsidRPr="00F2632A" w:rsidRDefault="00E6760E" w:rsidP="00F26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Распиловка изделий ювелирным лобзиком, обработка напильниками, шабрение, шлифование и полировка</w:t>
            </w:r>
          </w:p>
        </w:tc>
      </w:tr>
      <w:tr w:rsidR="00F2632A" w:rsidRPr="00F2632A" w14:paraId="6C854B44" w14:textId="77777777" w:rsidTr="00F2632A">
        <w:tc>
          <w:tcPr>
            <w:tcW w:w="529" w:type="pct"/>
            <w:shd w:val="clear" w:color="auto" w:fill="BFBFBF"/>
          </w:tcPr>
          <w:p w14:paraId="26FBBB48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224C8489" w14:textId="4FC1171B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металла (обработка кислотами) и патинирование</w:t>
            </w:r>
          </w:p>
        </w:tc>
      </w:tr>
      <w:tr w:rsidR="00F2632A" w:rsidRPr="00F2632A" w14:paraId="381A8BAB" w14:textId="77777777" w:rsidTr="00F2632A">
        <w:tc>
          <w:tcPr>
            <w:tcW w:w="529" w:type="pct"/>
            <w:shd w:val="clear" w:color="auto" w:fill="BFBFBF"/>
          </w:tcPr>
          <w:p w14:paraId="50A56531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pct"/>
          </w:tcPr>
          <w:p w14:paraId="7427DB72" w14:textId="3DA03A3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необходимых инструментов и приспособлений для художественной обработки металла</w:t>
            </w:r>
          </w:p>
        </w:tc>
      </w:tr>
      <w:tr w:rsidR="00F2632A" w:rsidRPr="00F2632A" w14:paraId="67D06318" w14:textId="77777777" w:rsidTr="00F2632A">
        <w:tc>
          <w:tcPr>
            <w:tcW w:w="529" w:type="pct"/>
            <w:shd w:val="clear" w:color="auto" w:fill="BFBFBF"/>
          </w:tcPr>
          <w:p w14:paraId="6D6CDE48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4987515" w14:textId="46E5BD19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Обработка металла вальцами, </w:t>
            </w:r>
            <w:proofErr w:type="spellStart"/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профильвальцами</w:t>
            </w:r>
            <w:proofErr w:type="spellEnd"/>
          </w:p>
        </w:tc>
      </w:tr>
      <w:tr w:rsidR="00F2632A" w:rsidRPr="00F2632A" w14:paraId="37AAAE76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40767FF6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D17DDF5" w14:textId="76944A9C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Гравирование изделий из простых композиций</w:t>
            </w:r>
          </w:p>
        </w:tc>
      </w:tr>
      <w:tr w:rsidR="00F2632A" w:rsidRPr="00F2632A" w14:paraId="1E22D76B" w14:textId="77777777" w:rsidTr="00F2632A">
        <w:tc>
          <w:tcPr>
            <w:tcW w:w="529" w:type="pct"/>
            <w:shd w:val="clear" w:color="auto" w:fill="BFBFBF"/>
          </w:tcPr>
          <w:p w14:paraId="29F3B006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4B490C7" w14:textId="31FF3D68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Пайка, распиловка, чеканка, припаивание изделий из металла и нанесение гальванических покрытий или эмалирование</w:t>
            </w:r>
          </w:p>
        </w:tc>
      </w:tr>
      <w:tr w:rsidR="00F2632A" w:rsidRPr="00F2632A" w14:paraId="59CB34E8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39AEF56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808EF26" w14:textId="27E386A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Монтировка изделий с помощью сложной клепки, шпоночных соединений</w:t>
            </w:r>
          </w:p>
        </w:tc>
      </w:tr>
      <w:tr w:rsidR="00F2632A" w:rsidRPr="00F2632A" w14:paraId="0A0B7BE3" w14:textId="77777777" w:rsidTr="00F2632A">
        <w:trPr>
          <w:trHeight w:val="276"/>
        </w:trPr>
        <w:tc>
          <w:tcPr>
            <w:tcW w:w="529" w:type="pct"/>
            <w:shd w:val="clear" w:color="auto" w:fill="BFBFBF" w:themeFill="background1" w:themeFillShade="BF"/>
          </w:tcPr>
          <w:p w14:paraId="63B999A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62484853" w14:textId="5EB0FC78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Сборка изделий из металла с другими видами материалов</w:t>
            </w:r>
          </w:p>
        </w:tc>
      </w:tr>
      <w:tr w:rsidR="00F2632A" w:rsidRPr="00F2632A" w14:paraId="09284068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759C5DDF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0ACA2CE0" w14:textId="46D27EF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по собственным композициям сложных художественных изделий из металла</w:t>
            </w:r>
          </w:p>
        </w:tc>
      </w:tr>
    </w:tbl>
    <w:p w14:paraId="683B7DA4" w14:textId="77777777" w:rsidR="00E6760E" w:rsidRDefault="00E6760E" w:rsidP="00E6760E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D4FEEB2" w14:textId="77777777" w:rsidR="00E6760E" w:rsidRPr="00C369F0" w:rsidRDefault="00E6760E" w:rsidP="00E6760E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E84EEA5" w14:textId="77777777" w:rsidR="00E6760E" w:rsidRPr="001B15DE" w:rsidRDefault="00E6760E" w:rsidP="00E676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F2632A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5972" w14:textId="77777777" w:rsidR="003073FB" w:rsidRDefault="003073FB" w:rsidP="00A130B3">
      <w:pPr>
        <w:spacing w:after="0" w:line="240" w:lineRule="auto"/>
      </w:pPr>
      <w:r>
        <w:separator/>
      </w:r>
    </w:p>
  </w:endnote>
  <w:endnote w:type="continuationSeparator" w:id="0">
    <w:p w14:paraId="5A683D14" w14:textId="77777777" w:rsidR="003073FB" w:rsidRDefault="003073F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7D5878D8" w:rsidR="00A130B3" w:rsidRPr="00F2632A" w:rsidRDefault="00A130B3" w:rsidP="00F263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63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63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63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F263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63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8002" w14:textId="77777777" w:rsidR="003073FB" w:rsidRDefault="003073FB" w:rsidP="00A130B3">
      <w:pPr>
        <w:spacing w:after="0" w:line="240" w:lineRule="auto"/>
      </w:pPr>
      <w:r>
        <w:separator/>
      </w:r>
    </w:p>
  </w:footnote>
  <w:footnote w:type="continuationSeparator" w:id="0">
    <w:p w14:paraId="0E1275C5" w14:textId="77777777" w:rsidR="003073FB" w:rsidRDefault="003073F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5454DB"/>
    <w:multiLevelType w:val="hybridMultilevel"/>
    <w:tmpl w:val="5EF683C0"/>
    <w:lvl w:ilvl="0" w:tplc="23CCBF56">
      <w:start w:val="1"/>
      <w:numFmt w:val="decimal"/>
      <w:lvlText w:val="%1."/>
      <w:lvlJc w:val="left"/>
      <w:pPr>
        <w:ind w:left="578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1F5168A"/>
    <w:multiLevelType w:val="hybridMultilevel"/>
    <w:tmpl w:val="2AD0B33C"/>
    <w:lvl w:ilvl="0" w:tplc="B8F29E3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7D81"/>
    <w:multiLevelType w:val="hybridMultilevel"/>
    <w:tmpl w:val="396443D4"/>
    <w:lvl w:ilvl="0" w:tplc="AC00F7AC">
      <w:start w:val="1"/>
      <w:numFmt w:val="decimal"/>
      <w:lvlText w:val="%1."/>
      <w:lvlJc w:val="left"/>
      <w:pPr>
        <w:ind w:left="720" w:hanging="360"/>
      </w:pPr>
      <w:rPr>
        <w:rFonts w:hint="default"/>
        <w:color w:val="5F636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B549B"/>
    <w:multiLevelType w:val="multilevel"/>
    <w:tmpl w:val="EA545D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3946F99"/>
    <w:multiLevelType w:val="hybridMultilevel"/>
    <w:tmpl w:val="0958EF7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30F12"/>
    <w:multiLevelType w:val="hybridMultilevel"/>
    <w:tmpl w:val="9430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33A80"/>
    <w:multiLevelType w:val="hybridMultilevel"/>
    <w:tmpl w:val="E224219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21606"/>
    <w:rsid w:val="00054085"/>
    <w:rsid w:val="001262E4"/>
    <w:rsid w:val="001B15DE"/>
    <w:rsid w:val="003073FB"/>
    <w:rsid w:val="003327A6"/>
    <w:rsid w:val="003D0CC1"/>
    <w:rsid w:val="00425FBC"/>
    <w:rsid w:val="00466B9F"/>
    <w:rsid w:val="004C33CF"/>
    <w:rsid w:val="004F5C21"/>
    <w:rsid w:val="00532AD0"/>
    <w:rsid w:val="00571E4B"/>
    <w:rsid w:val="005911D4"/>
    <w:rsid w:val="00596E5D"/>
    <w:rsid w:val="00674CE7"/>
    <w:rsid w:val="00714189"/>
    <w:rsid w:val="00716F94"/>
    <w:rsid w:val="007E0C3F"/>
    <w:rsid w:val="00830AF5"/>
    <w:rsid w:val="008504D1"/>
    <w:rsid w:val="00912BE2"/>
    <w:rsid w:val="00916D34"/>
    <w:rsid w:val="009C4B59"/>
    <w:rsid w:val="009F616C"/>
    <w:rsid w:val="00A130B3"/>
    <w:rsid w:val="00AA1894"/>
    <w:rsid w:val="00AB059B"/>
    <w:rsid w:val="00B96387"/>
    <w:rsid w:val="00C31FCD"/>
    <w:rsid w:val="00C47B1D"/>
    <w:rsid w:val="00CA2A9B"/>
    <w:rsid w:val="00DE73B9"/>
    <w:rsid w:val="00E110E4"/>
    <w:rsid w:val="00E6760E"/>
    <w:rsid w:val="00E75D31"/>
    <w:rsid w:val="00EA3D6C"/>
    <w:rsid w:val="00F2632A"/>
    <w:rsid w:val="00F65907"/>
    <w:rsid w:val="00F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6760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6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760E"/>
    <w:rPr>
      <w:b/>
      <w:bCs/>
    </w:rPr>
  </w:style>
  <w:style w:type="character" w:styleId="af">
    <w:name w:val="Emphasis"/>
    <w:basedOn w:val="a0"/>
    <w:uiPriority w:val="20"/>
    <w:qFormat/>
    <w:rsid w:val="00E676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4217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13</cp:revision>
  <dcterms:created xsi:type="dcterms:W3CDTF">2023-10-02T14:40:00Z</dcterms:created>
  <dcterms:modified xsi:type="dcterms:W3CDTF">2024-11-15T14:09:00Z</dcterms:modified>
</cp:coreProperties>
</file>