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997A" w14:textId="5112D8A7" w:rsidR="00AE11AB" w:rsidRDefault="00A378C2" w:rsidP="00A378C2">
      <w:pPr>
        <w:spacing w:after="0" w:line="360" w:lineRule="auto"/>
        <w:rPr>
          <w:rFonts w:ascii="Times New Roman" w:hAnsi="Times New Roman" w:cs="Times New Roman"/>
        </w:rPr>
      </w:pPr>
      <w:r w:rsidRPr="00A378C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B0E6997" wp14:editId="52F5A76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A75D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B0E830C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2DDE8E3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618DAC3" w14:textId="77777777" w:rsidR="00AE11AB" w:rsidRDefault="00AE11A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28D2151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620EF526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  <w:r w:rsidR="00AE11AB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7D458D10" w:rsidR="00832EBB" w:rsidRPr="00A204BB" w:rsidRDefault="00AE11A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«ИНТЕРНЕТ-МАРКЕТИНГ»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5461ECC0" w:rsidR="009B18A2" w:rsidRDefault="00A378C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10E47CE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E11AB">
        <w:rPr>
          <w:rFonts w:ascii="Times New Roman" w:hAnsi="Times New Roman" w:cs="Times New Roman"/>
          <w:lang w:bidi="en-US"/>
        </w:rPr>
        <w:t>2</w:t>
      </w:r>
      <w:r w:rsidR="00A378C2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A702214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2E9CFC46" w:rsidR="009B18A2" w:rsidRDefault="001A0D1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6C75A6E4" w:rsidR="009B18A2" w:rsidRDefault="001A0D1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020AE8">
          <w:rPr>
            <w:rStyle w:val="ae"/>
            <w:noProof/>
          </w:rPr>
          <w:t>Интернет маркетинг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1F80402B" w:rsidR="009B18A2" w:rsidRDefault="001A0D1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40B5B8DA" w14:textId="17BC719E" w:rsidR="009B18A2" w:rsidRDefault="001A0D1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16814EF3" w14:textId="66026041" w:rsidR="009B18A2" w:rsidRDefault="001A0D1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13</w:t>
        </w:r>
        <w:r w:rsidR="009B18A2">
          <w:rPr>
            <w:noProof/>
            <w:webHidden/>
          </w:rPr>
          <w:fldChar w:fldCharType="end"/>
        </w:r>
      </w:hyperlink>
    </w:p>
    <w:p w14:paraId="79BE8C40" w14:textId="3DD5684D" w:rsidR="009B18A2" w:rsidRDefault="001A0D1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16</w:t>
        </w:r>
        <w:r w:rsidR="009B18A2">
          <w:rPr>
            <w:noProof/>
            <w:webHidden/>
          </w:rPr>
          <w:fldChar w:fldCharType="end"/>
        </w:r>
      </w:hyperlink>
    </w:p>
    <w:p w14:paraId="1E177A7F" w14:textId="1719C0DC" w:rsidR="009B18A2" w:rsidRDefault="001A0D1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16</w:t>
        </w:r>
        <w:r w:rsidR="009B18A2">
          <w:rPr>
            <w:noProof/>
            <w:webHidden/>
          </w:rPr>
          <w:fldChar w:fldCharType="end"/>
        </w:r>
      </w:hyperlink>
    </w:p>
    <w:p w14:paraId="05C32EBC" w14:textId="53270D49" w:rsidR="009B18A2" w:rsidRDefault="001A0D1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20AE8">
          <w:rPr>
            <w:noProof/>
            <w:webHidden/>
          </w:rPr>
          <w:t>16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1E6FA15F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737D88" w14:paraId="3A9F6AAE" w14:textId="77777777" w:rsidTr="00020AE8">
        <w:tc>
          <w:tcPr>
            <w:tcW w:w="673" w:type="dxa"/>
          </w:tcPr>
          <w:p w14:paraId="57889AA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6C0201EE" w14:textId="7445D91F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7029" w:type="dxa"/>
          </w:tcPr>
          <w:p w14:paraId="2410FBFA" w14:textId="6FD0628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Интернет-маркетинг</w:t>
            </w:r>
          </w:p>
        </w:tc>
      </w:tr>
      <w:tr w:rsidR="00737D88" w14:paraId="42CA12A9" w14:textId="77777777" w:rsidTr="00020AE8">
        <w:tc>
          <w:tcPr>
            <w:tcW w:w="673" w:type="dxa"/>
          </w:tcPr>
          <w:p w14:paraId="10CC6C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FDA0921" w14:textId="44C8E7AE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SMM</w:t>
            </w:r>
          </w:p>
        </w:tc>
        <w:tc>
          <w:tcPr>
            <w:tcW w:w="7029" w:type="dxa"/>
          </w:tcPr>
          <w:p w14:paraId="0A9CF75B" w14:textId="6162846B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Маркетинг в социальных сетях</w:t>
            </w:r>
          </w:p>
        </w:tc>
      </w:tr>
      <w:tr w:rsidR="00737D88" w14:paraId="25675D15" w14:textId="77777777" w:rsidTr="00020AE8">
        <w:tc>
          <w:tcPr>
            <w:tcW w:w="673" w:type="dxa"/>
          </w:tcPr>
          <w:p w14:paraId="5D3AA48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2DC5AACD" w14:textId="0C276093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УТП</w:t>
            </w:r>
          </w:p>
        </w:tc>
        <w:tc>
          <w:tcPr>
            <w:tcW w:w="7029" w:type="dxa"/>
          </w:tcPr>
          <w:p w14:paraId="13364E52" w14:textId="001A8A3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Уникальное торговое предложение</w:t>
            </w:r>
          </w:p>
        </w:tc>
      </w:tr>
      <w:tr w:rsidR="00A53D9D" w14:paraId="48AB1C85" w14:textId="77777777" w:rsidTr="00020AE8">
        <w:tc>
          <w:tcPr>
            <w:tcW w:w="673" w:type="dxa"/>
          </w:tcPr>
          <w:p w14:paraId="3FC9FA08" w14:textId="664585F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4289ED5B" w14:textId="2845ADB2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 xml:space="preserve">KPI </w:t>
            </w:r>
          </w:p>
        </w:tc>
        <w:tc>
          <w:tcPr>
            <w:tcW w:w="7029" w:type="dxa"/>
          </w:tcPr>
          <w:p w14:paraId="40639DD7" w14:textId="0BCA834D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Pr="00A53D9D">
              <w:rPr>
                <w:i/>
                <w:sz w:val="28"/>
                <w:szCs w:val="28"/>
              </w:rPr>
              <w:t>лючевые показатели эффективности</w:t>
            </w:r>
          </w:p>
        </w:tc>
      </w:tr>
      <w:tr w:rsidR="00A53D9D" w14:paraId="57DA98E4" w14:textId="77777777" w:rsidTr="00020AE8">
        <w:tc>
          <w:tcPr>
            <w:tcW w:w="673" w:type="dxa"/>
          </w:tcPr>
          <w:p w14:paraId="457531B3" w14:textId="1431B5C5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3C007286" w14:textId="3CC55AAD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>SEO</w:t>
            </w:r>
          </w:p>
        </w:tc>
        <w:tc>
          <w:tcPr>
            <w:tcW w:w="7029" w:type="dxa"/>
          </w:tcPr>
          <w:p w14:paraId="783657FE" w14:textId="29DC682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Поисковая оптимизация</w:t>
            </w:r>
          </w:p>
        </w:tc>
      </w:tr>
      <w:tr w:rsidR="00A53D9D" w14:paraId="0B8B5D94" w14:textId="77777777" w:rsidTr="00020AE8">
        <w:tc>
          <w:tcPr>
            <w:tcW w:w="673" w:type="dxa"/>
          </w:tcPr>
          <w:p w14:paraId="0DCCA95D" w14:textId="5217135E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7F8A0782" w14:textId="39E351B1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</w:t>
            </w:r>
          </w:p>
        </w:tc>
        <w:tc>
          <w:tcPr>
            <w:tcW w:w="7029" w:type="dxa"/>
          </w:tcPr>
          <w:p w14:paraId="6D4F054D" w14:textId="038D7EC9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Призыв к действию</w:t>
            </w:r>
          </w:p>
        </w:tc>
      </w:tr>
      <w:tr w:rsidR="00A53D9D" w14:paraId="70623CA8" w14:textId="77777777" w:rsidTr="00020AE8">
        <w:tc>
          <w:tcPr>
            <w:tcW w:w="673" w:type="dxa"/>
          </w:tcPr>
          <w:p w14:paraId="5A322B5B" w14:textId="5A4EDDF4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51B61647" w14:textId="29DB86E0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</w:t>
            </w:r>
          </w:p>
        </w:tc>
        <w:tc>
          <w:tcPr>
            <w:tcW w:w="7029" w:type="dxa"/>
          </w:tcPr>
          <w:p w14:paraId="518181ED" w14:textId="01D2BB61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Целевая аудитория</w:t>
            </w:r>
          </w:p>
        </w:tc>
      </w:tr>
      <w:tr w:rsidR="00737D88" w14:paraId="0AFDDA8E" w14:textId="77777777" w:rsidTr="00020AE8">
        <w:tc>
          <w:tcPr>
            <w:tcW w:w="673" w:type="dxa"/>
          </w:tcPr>
          <w:p w14:paraId="096AB870" w14:textId="59CB9A59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5E3250F1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ТрК</w:t>
            </w:r>
          </w:p>
        </w:tc>
        <w:tc>
          <w:tcPr>
            <w:tcW w:w="7029" w:type="dxa"/>
          </w:tcPr>
          <w:p w14:paraId="4B58067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737D88" w14:paraId="487519B5" w14:textId="77777777" w:rsidTr="00020AE8">
        <w:tc>
          <w:tcPr>
            <w:tcW w:w="673" w:type="dxa"/>
          </w:tcPr>
          <w:p w14:paraId="47B637B4" w14:textId="11BFDB9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3483BE1F" w14:textId="586C24DF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ОВВ</w:t>
            </w:r>
          </w:p>
        </w:tc>
        <w:tc>
          <w:tcPr>
            <w:tcW w:w="7029" w:type="dxa"/>
          </w:tcPr>
          <w:p w14:paraId="3D217AE9" w14:textId="590EE3D5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Общее визуальное восприятие</w:t>
            </w:r>
          </w:p>
        </w:tc>
      </w:tr>
      <w:tr w:rsidR="00737D88" w14:paraId="2D15C7F7" w14:textId="77777777" w:rsidTr="00020AE8">
        <w:tc>
          <w:tcPr>
            <w:tcW w:w="673" w:type="dxa"/>
          </w:tcPr>
          <w:p w14:paraId="0AE347AB" w14:textId="5EF1B502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14:paraId="4C412AF6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7B19EFE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737D88" w14:paraId="3380CF14" w14:textId="77777777" w:rsidTr="00020AE8">
        <w:tc>
          <w:tcPr>
            <w:tcW w:w="673" w:type="dxa"/>
          </w:tcPr>
          <w:p w14:paraId="37A50E32" w14:textId="7BEAF540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521E683C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739197F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737D88" w14:paraId="57798A31" w14:textId="77777777" w:rsidTr="00020AE8">
        <w:tc>
          <w:tcPr>
            <w:tcW w:w="673" w:type="dxa"/>
          </w:tcPr>
          <w:p w14:paraId="6F950A01" w14:textId="3F3974D4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14:paraId="43ADBD1A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7B3C68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37D88" w14:paraId="421A7CBC" w14:textId="77777777" w:rsidTr="00020AE8">
        <w:tc>
          <w:tcPr>
            <w:tcW w:w="673" w:type="dxa"/>
          </w:tcPr>
          <w:p w14:paraId="6CB75356" w14:textId="4632D94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14:paraId="50050CC4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6CC7A53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940564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01E6B" w:rsidRPr="00B01E6B">
        <w:rPr>
          <w:rFonts w:ascii="Times New Roman" w:hAnsi="Times New Roman" w:cs="Times New Roman"/>
          <w:b/>
          <w:bCs/>
          <w:sz w:val="28"/>
          <w:szCs w:val="28"/>
        </w:rPr>
        <w:t>Интернет-маркетинг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15DA9D1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B01E6B">
        <w:rPr>
          <w:rFonts w:ascii="Times New Roman" w:hAnsi="Times New Roman"/>
          <w:color w:val="000000"/>
          <w:sz w:val="24"/>
          <w:lang w:val="ru-RU"/>
        </w:rPr>
        <w:t>Интернет-маркетинг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020AE8" w14:paraId="690948A9" w14:textId="77777777" w:rsidTr="00020AE8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0AE8" w:rsidRDefault="000244DA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0AE8" w:rsidRDefault="000244DA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0AE8" w:rsidRDefault="000244DA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020AE8" w14:paraId="36656CAB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0AE8" w:rsidRDefault="00764773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51B28D0" w:rsidR="00764773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C18271F" w:rsidR="00764773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42C09" w:rsidRPr="00020AE8" w14:paraId="25C92B0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F2C79A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E0661E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14:paraId="35BA5A73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14:paraId="492CC78B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принципы действия противоаварийной и противопожарной защиты </w:t>
            </w:r>
          </w:p>
          <w:p w14:paraId="55EFEA33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14:paraId="6FF88409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14:paraId="2BEE417C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6E530165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труда в команде</w:t>
            </w:r>
          </w:p>
          <w:p w14:paraId="0169673F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контроля и управления командой на рабочем месте </w:t>
            </w:r>
          </w:p>
          <w:p w14:paraId="43AA9090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безопасной работы в сети Интернет </w:t>
            </w:r>
          </w:p>
          <w:p w14:paraId="0178B265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вежливой коммуникации при взаимодействии в сети Интернет </w:t>
            </w:r>
          </w:p>
          <w:p w14:paraId="0E606F9D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14:paraId="24A67FE1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14:paraId="22848F4D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Основы командной работы и делегирования</w:t>
            </w:r>
          </w:p>
          <w:p w14:paraId="10DDAF26" w14:textId="527A53C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делового общения в письменной и устной форме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0188748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5CB67B9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56DD60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14:paraId="0A779C6C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14:paraId="29B887F8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14:paraId="2744F96E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охране труда  </w:t>
            </w:r>
          </w:p>
          <w:p w14:paraId="1C21BD9D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14:paraId="557402E8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время </w:t>
            </w:r>
          </w:p>
          <w:p w14:paraId="5EA05413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системный подход к процессу </w:t>
            </w:r>
          </w:p>
          <w:p w14:paraId="47C635EB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пользоваться ПК  </w:t>
            </w:r>
          </w:p>
          <w:p w14:paraId="1A0F4A1F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 для отправки-получения электронной корреспонденции</w:t>
            </w:r>
          </w:p>
          <w:p w14:paraId="579B4141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пятиминутные комплексы физических упражнений через каждые два часа непрерывной работы с компьютером  </w:t>
            </w:r>
          </w:p>
          <w:p w14:paraId="7A234B14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  <w:p w14:paraId="370430C2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 стандартным пакетом основных офисных программ пакета Microsoft Office, интернет-браузерами (не менее трех)</w:t>
            </w:r>
          </w:p>
          <w:p w14:paraId="36CF4AEF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и необходимые для работы сервисы в современных поисковых системах </w:t>
            </w:r>
          </w:p>
          <w:p w14:paraId="497A7F1A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Пользоваться мессенджерами и электронной почтой для постановки задач и обсуждения текущей работы в команде</w:t>
            </w:r>
          </w:p>
          <w:p w14:paraId="2C196CFE" w14:textId="7B6ADED6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как собственные профессиональные навыки и умения, так и других участников команды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79B2A6B6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7E362A5D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документацией и межличностные отношения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35BEC1F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42C09" w:rsidRPr="00020AE8" w14:paraId="23A3F9EF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352713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84A451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48A08128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законодательство Российской Федерации </w:t>
            </w:r>
          </w:p>
          <w:p w14:paraId="5087AB2E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 Российской Федерации о персональных данных</w:t>
            </w:r>
          </w:p>
          <w:p w14:paraId="7FBEE0C5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делопроизводства и документационного обеспечения управления </w:t>
            </w:r>
          </w:p>
          <w:p w14:paraId="58C1D655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логики, психологии и риторики </w:t>
            </w:r>
          </w:p>
          <w:p w14:paraId="1F4862F5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при работе с заказчиками и коллегами</w:t>
            </w:r>
          </w:p>
          <w:p w14:paraId="37090FF2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выстраивания продуктивных рабочих отношений</w:t>
            </w:r>
          </w:p>
          <w:p w14:paraId="71B58091" w14:textId="77777777" w:rsidR="00C42C09" w:rsidRPr="00020AE8" w:rsidRDefault="00C42C09" w:rsidP="00020AE8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Важность оперативного разрешения недопониманий и конфликтных ситуаций. </w:t>
            </w:r>
          </w:p>
          <w:p w14:paraId="1D28C5D7" w14:textId="5B1229B8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границы своих полномочий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3A9CF3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14C91796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577891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0DA4B1D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51803595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информационно-аналитические справки</w:t>
            </w:r>
          </w:p>
          <w:p w14:paraId="3E9468C0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маркетинговые стратегии</w:t>
            </w:r>
          </w:p>
          <w:p w14:paraId="5E8367F6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SMM-стратегии </w:t>
            </w:r>
          </w:p>
          <w:p w14:paraId="72383CE1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контент-планы</w:t>
            </w:r>
          </w:p>
          <w:p w14:paraId="72846EE2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тексты для социальных сетей</w:t>
            </w:r>
          </w:p>
          <w:p w14:paraId="5D9ECAB6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тексты для сайтов, лендингов, презентаций</w:t>
            </w:r>
          </w:p>
          <w:p w14:paraId="2FD396A3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виды текстов</w:t>
            </w:r>
          </w:p>
          <w:p w14:paraId="6346C1FB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отчетные документы</w:t>
            </w:r>
          </w:p>
          <w:p w14:paraId="2C8CA110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Грамотно и логично писать </w:t>
            </w:r>
          </w:p>
          <w:p w14:paraId="2A0BA55A" w14:textId="77777777" w:rsidR="00C42C09" w:rsidRPr="00020AE8" w:rsidRDefault="00C42C09" w:rsidP="00020AE8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 и логично изъяснять свои мысли устно</w:t>
            </w:r>
          </w:p>
          <w:p w14:paraId="4CB8FBD0" w14:textId="1BD32C90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 планировать свою работу, оценивать сроки и ресурсы, продумывать алгоритм действий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A129AF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5134301B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8ED65A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процессов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1C4FA1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42C09" w:rsidRPr="00020AE8" w14:paraId="609BA7CA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AF42BD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438772D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40CD6B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ключевой терминологии для профессиональной коммуникации по всем каналам привлечения трафика</w:t>
            </w:r>
          </w:p>
          <w:p w14:paraId="62155411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Отличия типов площадок для привлечения трафика в сети Интернет</w:t>
            </w:r>
          </w:p>
          <w:p w14:paraId="6746F3FA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и отличия всех каналов интернет-маркетинга</w:t>
            </w:r>
          </w:p>
          <w:p w14:paraId="280ABBED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Перечень (количество и названия) рекламных механизмов показа аудитории рекламных сообщений в сети Интернет</w:t>
            </w:r>
          </w:p>
          <w:p w14:paraId="3ED84179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план документа аудита интернет-маркетинга организации</w:t>
            </w:r>
          </w:p>
          <w:p w14:paraId="095498A6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Структуру подразделения интернет-маркетинга в организации</w:t>
            </w:r>
          </w:p>
          <w:p w14:paraId="0D70DC0B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поисковых систем </w:t>
            </w:r>
          </w:p>
          <w:p w14:paraId="3DB64D44" w14:textId="77777777" w:rsidR="00C42C09" w:rsidRPr="00020AE8" w:rsidRDefault="00C42C09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Работу социальных сетей</w:t>
            </w:r>
          </w:p>
          <w:p w14:paraId="30A058ED" w14:textId="15BEF72F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бюджета на продвижение в интернете между различными каналами продвижения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805723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020AE8" w14:paraId="2C0E80E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BF2B3" w14:textId="77777777" w:rsidR="00C42C09" w:rsidRPr="00020AE8" w:rsidRDefault="00C42C09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330CC7E" w14:textId="77777777" w:rsidR="00C42C09" w:rsidRPr="00020AE8" w:rsidRDefault="00C42C09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221E6AD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использовать в своей работе термины и определения интернет-маркетинга</w:t>
            </w:r>
          </w:p>
          <w:p w14:paraId="599B39B6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Объяснить сложные технические понятия лицам без специальной подготовки, либо менее компетентным</w:t>
            </w:r>
          </w:p>
          <w:p w14:paraId="3301E42B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Оценить собственные компетенции интернет-маркетолога по блокам</w:t>
            </w:r>
          </w:p>
          <w:p w14:paraId="6A9B126C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Определить модель оплаты привлечения трафика в сети Интернет</w:t>
            </w:r>
          </w:p>
          <w:p w14:paraId="5A1E9A0A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структуру документа интернет-маркетингового аудита сайта</w:t>
            </w:r>
          </w:p>
          <w:p w14:paraId="6308658C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Описать компетенции сотрудников подразделения интернет-маркетинга организации</w:t>
            </w:r>
          </w:p>
          <w:p w14:paraId="542C859F" w14:textId="77777777" w:rsidR="00C42C09" w:rsidRPr="00020AE8" w:rsidRDefault="00C42C09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конкурентов по сайтам и страницам в социальных сетях</w:t>
            </w:r>
          </w:p>
          <w:p w14:paraId="572A6F4E" w14:textId="4B0F15D4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Составлять аналитический отчет по анализу конкурентной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FCD89C" w14:textId="77777777" w:rsidR="00C42C09" w:rsidRPr="00020AE8" w:rsidRDefault="00C42C09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1A753297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01B0A8C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 в области статистики и аналитики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3255968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020AE8" w14:paraId="53F25F21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E385E0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1F63BE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542661D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определения, используемые в веб-аналитике</w:t>
            </w:r>
          </w:p>
          <w:p w14:paraId="2F542434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Структуру и особенности основных систем веб-аналитики (не менее 2х), включая дополнительные сервисы для отслеживания тегов на сайте (не менее 1)</w:t>
            </w:r>
          </w:p>
          <w:p w14:paraId="49FDA52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создания и установки счётчика веб-аналитики на сайт</w:t>
            </w:r>
          </w:p>
          <w:p w14:paraId="22B6715D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создания и установки целей на сайте, включая тип цели Событие, а также определение простых, составных и умных целей</w:t>
            </w:r>
          </w:p>
          <w:p w14:paraId="4C27B13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Отличие каналов интернет-маркетинга от каналов и источников трафика в веб-аналитике</w:t>
            </w:r>
          </w:p>
          <w:p w14:paraId="29C72A55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метрики для оценки эффективности сайта с точки зрения интернет-маркетинга</w:t>
            </w:r>
          </w:p>
          <w:p w14:paraId="58AFC90F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и особенности статистик сообществ в социальных сетях (не менее 3х социальных сетей) </w:t>
            </w:r>
          </w:p>
          <w:p w14:paraId="6AC1178B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Возможности анализа сайта с точки зрения их видимости для поисковых систем и поисковой оптимизации</w:t>
            </w:r>
          </w:p>
          <w:p w14:paraId="0CB11A33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Статистические возможности сервисов рассылок</w:t>
            </w:r>
          </w:p>
          <w:p w14:paraId="4C93D77D" w14:textId="0146BCD2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Возможности различных сервисов для анализа сайтов и сообществ в социальных сетях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BEACA7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5D828661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A794C0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8C34D1A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719717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счётчики основных систем веб-аналитики (не менее 2х) и передать для размещения на сайт или </w:t>
            </w: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разместить их на сайте с помощью дополнительных сервисов</w:t>
            </w:r>
          </w:p>
          <w:p w14:paraId="6BBE337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Проверить размещение счётчиков веб-аналитики на сайте и корректность сбора данных</w:t>
            </w:r>
          </w:p>
          <w:p w14:paraId="7AC9E5A0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Предоставить доступ к счётчику на сайте другим лицам на просмотр и редактирование</w:t>
            </w:r>
          </w:p>
          <w:p w14:paraId="2E7B135A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Установить самостоятельно простые и составные цели на сайте, связанные с загрузкой страниц</w:t>
            </w:r>
          </w:p>
          <w:p w14:paraId="42A230A6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бриф для разработчиков по установке целей на сайт типа Событие</w:t>
            </w:r>
          </w:p>
          <w:p w14:paraId="633118AF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источников трафика и конверсий на сайте с помощью основных систем веб-аналитики (не менее 2х)</w:t>
            </w:r>
          </w:p>
          <w:p w14:paraId="6D8CDD3E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многоканальных конверсий с помощью инструментов одной из основных систем веб-аналитики</w:t>
            </w:r>
          </w:p>
          <w:p w14:paraId="50109466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веб-аналитике сайта</w:t>
            </w:r>
          </w:p>
          <w:p w14:paraId="2719F714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статистике сообщества не менее чем 2х социальных  сетях</w:t>
            </w:r>
          </w:p>
          <w:p w14:paraId="2A2894EE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экспресс-анализ видимости сайта для поисковых систем и поисковой оптимизации с помощью любого специализированного сервиса, включая выводы и рекомендации</w:t>
            </w:r>
          </w:p>
          <w:p w14:paraId="59023715" w14:textId="71E6400E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Сравнивать показатели приведённый вовлечённости (на 1 пост при 1000 подписчиках) со страницами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07F659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06C23AF4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5F8A166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 по разработке рекламных модулей, е-mail-рассылок, лендингов, УТП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684F7BB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020AE8" w14:paraId="0CD49E5B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012813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3489B0A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3708E53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определения и сегментации целевой аудитории</w:t>
            </w:r>
          </w:p>
          <w:p w14:paraId="1010C8C4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копирайтинга</w:t>
            </w:r>
          </w:p>
          <w:p w14:paraId="6EF2CD09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правила дизайна и верстки</w:t>
            </w:r>
          </w:p>
          <w:p w14:paraId="73B0B732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разработки и поддержки сайтов/лендингов</w:t>
            </w:r>
          </w:p>
          <w:p w14:paraId="5D70ECC7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Принципиальные отличия лендигов от сайтов</w:t>
            </w:r>
          </w:p>
          <w:p w14:paraId="5038729F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для автоматизации рассылок</w:t>
            </w:r>
          </w:p>
          <w:p w14:paraId="20921FEC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Сервисы для создания </w:t>
            </w:r>
          </w:p>
          <w:p w14:paraId="20DF5244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бюджетирования маркетинговой деятельности</w:t>
            </w:r>
          </w:p>
          <w:p w14:paraId="3263B0A7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лендингов</w:t>
            </w:r>
          </w:p>
          <w:p w14:paraId="357CC81E" w14:textId="77777777" w:rsidR="003E7342" w:rsidRPr="00020AE8" w:rsidRDefault="003E7342" w:rsidP="00020AE8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УТП </w:t>
            </w:r>
          </w:p>
          <w:p w14:paraId="226B21DE" w14:textId="0F15EB63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разрабатывается УТП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F07A3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1AE75A88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4D15A3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678EE94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8655AD7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Сегментировать целевую аудитория для разных задач и продуктов</w:t>
            </w:r>
          </w:p>
          <w:p w14:paraId="335AB0FD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выбор целевой аудитории</w:t>
            </w:r>
          </w:p>
          <w:p w14:paraId="3944AD4E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тексты и рекламные слоганы</w:t>
            </w:r>
          </w:p>
          <w:p w14:paraId="1AB9698C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СТА для лендингов</w:t>
            </w:r>
          </w:p>
          <w:p w14:paraId="5612DC07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бесплатными сервисами создания лендингов </w:t>
            </w:r>
          </w:p>
          <w:p w14:paraId="2C8FCCEA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УТП для определенных задач</w:t>
            </w:r>
          </w:p>
          <w:p w14:paraId="23B4F4B7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сервисами рассылок</w:t>
            </w:r>
          </w:p>
          <w:p w14:paraId="701CE3CC" w14:textId="77777777" w:rsidR="003E7342" w:rsidRPr="00020AE8" w:rsidRDefault="003E7342" w:rsidP="00020AE8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Рассчитать бюджет на создание лендинга</w:t>
            </w:r>
          </w:p>
          <w:p w14:paraId="7D43FC35" w14:textId="1F5C08B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ТЗ на создание лендинга для сторонних специалистов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2F6FF8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65513C28" w14:textId="77777777" w:rsidTr="00020AE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5C9EFC79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462DBF0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 по привлечению трафика на площадки и конверсии его в целевые действия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F2437BC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020AE8" w14:paraId="1AC717E6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63170F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6C26CC2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BD32BF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KPI (ключевые показатели эффективности) каждого канала интернет-маркетинга</w:t>
            </w:r>
          </w:p>
          <w:p w14:paraId="6F4B56C2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каждого канала интернет-маркетинга с точки зрения скорости запуска, получения первых результатов и необходимых бюджетов </w:t>
            </w:r>
          </w:p>
          <w:p w14:paraId="384C4631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Какие доступы к каким сервисам должны быть у интернет-маркетолога, чтобы контролировать работу исполнителей по всем каналам интернет-маркетинга</w:t>
            </w:r>
          </w:p>
          <w:p w14:paraId="612D8710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Этапы запуска контекстно-медийной рекламы</w:t>
            </w:r>
          </w:p>
          <w:p w14:paraId="2AA352A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Основные ошибки, допускаемые в контекстно-медийной рекламе и как их избежать</w:t>
            </w:r>
          </w:p>
          <w:p w14:paraId="56A74C80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Работы по внутренней и внешней оптимизации сайта</w:t>
            </w:r>
          </w:p>
          <w:p w14:paraId="6B2EB74B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потребления контента в социальных сетях (не менее трех социальных сетей) </w:t>
            </w:r>
          </w:p>
          <w:p w14:paraId="7A3AAE8E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написания постов в социальных сетях, включая вирусные форматы и механики</w:t>
            </w:r>
          </w:p>
          <w:p w14:paraId="38477699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Инструменты привлечения живых целевых подписчиков в личные аккаунты и сообщества</w:t>
            </w:r>
          </w:p>
          <w:p w14:paraId="289D8C8C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Алгоритм реакции на упоминания в социальных сетях</w:t>
            </w:r>
          </w:p>
          <w:p w14:paraId="3F259CD8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Рекламные инструменты социальных сетей, включая особенности рекламных кабинетов основных социальных сетей (не менее двух)</w:t>
            </w:r>
          </w:p>
          <w:p w14:paraId="20FED6F9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Правила работы с рассылками, включая создание цепочек писем и тригерные рассылки</w:t>
            </w:r>
          </w:p>
          <w:p w14:paraId="6B89D364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Структуру продающего письма для рассылки</w:t>
            </w:r>
          </w:p>
          <w:p w14:paraId="217F815E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партнёрскими площадками: риски, возможности и бюджетирование</w:t>
            </w:r>
          </w:p>
          <w:p w14:paraId="3392A520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медийными агентствами: риски, возможности и бюджетирование</w:t>
            </w:r>
          </w:p>
          <w:p w14:paraId="1BD59C63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SMM</w:t>
            </w:r>
          </w:p>
          <w:p w14:paraId="6CDD3AAF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SEO</w:t>
            </w:r>
          </w:p>
          <w:p w14:paraId="7E2138AB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Контекстно-медийной рекламе</w:t>
            </w:r>
          </w:p>
          <w:p w14:paraId="5B87E3F1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Медийной рекламе</w:t>
            </w:r>
          </w:p>
          <w:p w14:paraId="07407D14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Рассылкам</w:t>
            </w:r>
          </w:p>
          <w:p w14:paraId="500B2AA7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отбора и контроля исполнителей по Партнёрским сетям</w:t>
            </w:r>
          </w:p>
          <w:p w14:paraId="57701FF5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Термины: целевая аудитория, сегменты целевой аудитории, персонаж (типичный пользователь), клиентский опыт и пользовательский опыт, управление клиентским опытом, пользовательского сценария</w:t>
            </w:r>
          </w:p>
          <w:p w14:paraId="0386EB4D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Базовые правила юзабилити сайта</w:t>
            </w:r>
          </w:p>
          <w:p w14:paraId="69FD8EA9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Базовые правила UXD сайта</w:t>
            </w:r>
          </w:p>
          <w:p w14:paraId="3F56D13F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Стандартные ошибки, приводящие к прерываниям пользовательских сценариев и усложняющие достижение конверсий на сайте</w:t>
            </w:r>
          </w:p>
          <w:p w14:paraId="00A62E4A" w14:textId="77777777" w:rsidR="003E7342" w:rsidRPr="00020AE8" w:rsidRDefault="003E7342" w:rsidP="00020AE8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Основы QA-тестирования и порядок анализа сайта</w:t>
            </w:r>
          </w:p>
          <w:p w14:paraId="7E785B09" w14:textId="024A7C8B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Стандартную структуру посадочной страницы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495823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020AE8" w14:paraId="29A6F769" w14:textId="77777777" w:rsidTr="00020AE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D466CA" w14:textId="77777777" w:rsidR="003E7342" w:rsidRPr="00020AE8" w:rsidRDefault="003E7342" w:rsidP="00020A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12E449E" w14:textId="77777777" w:rsidR="003E7342" w:rsidRPr="00020AE8" w:rsidRDefault="003E7342" w:rsidP="00020AE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0B455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Прогнозировать бюджет на контекстно-медийную рекламу</w:t>
            </w:r>
          </w:p>
          <w:p w14:paraId="26707386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Самостоятельно запустить контекстно-медийную рекламу, состоящую минимум из 2-х групп запросов и включающую минус-слова</w:t>
            </w:r>
          </w:p>
          <w:p w14:paraId="430CAFC0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первый вариант семантического ядра сайта</w:t>
            </w:r>
          </w:p>
          <w:p w14:paraId="58BF2AF2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тестовой рассылки, включая выводы и рекомендации</w:t>
            </w:r>
          </w:p>
          <w:p w14:paraId="38DF69B8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Определять частоту запросов с помощью сервиса анализа показов рекламных объявлений</w:t>
            </w:r>
          </w:p>
          <w:p w14:paraId="6DE78F9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контент-план на 2 недели для сообщества в социальных сетях (не менее трех социальных сетей)</w:t>
            </w:r>
          </w:p>
          <w:p w14:paraId="677C3BDD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Написать пост для трех социальных сетей контент-плану (на выбор)</w:t>
            </w:r>
          </w:p>
          <w:p w14:paraId="24118D7D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Продвинуть пост в трех социальных сетях, показать все возможности для продвижения поста</w:t>
            </w:r>
          </w:p>
          <w:p w14:paraId="506DC61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Создать и запустить рекламную кампанию на сайт в трех социальных сетях, состоящую минимум из 2-х групп объявлений, отличающихся аудиторией и более, чем 3-х объявлений внутри группы, отличающихся креативом</w:t>
            </w:r>
          </w:p>
          <w:p w14:paraId="1E54ED0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Запустить рассылку по предоставленной базе, ориентированную на наилучшие Open Rate и Click Rate</w:t>
            </w:r>
          </w:p>
          <w:p w14:paraId="3B15A70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выгодный для организации канал интернет-маркетинга, используя данные веб-аналитики и расчёты по количеству и стоимости посетителей по каждому источнику трафика</w:t>
            </w:r>
          </w:p>
          <w:p w14:paraId="48B61CC0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процедуру отбора исполнителей на выполнение работ в сфере интернет-маркетинга</w:t>
            </w:r>
          </w:p>
          <w:p w14:paraId="0D79BDBB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Оценить на полноту и достоверность отчёты исполнителей по каждому каналу интернет-маркетинга</w:t>
            </w:r>
          </w:p>
          <w:p w14:paraId="12706975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Составить требования к CRM</w:t>
            </w:r>
          </w:p>
          <w:p w14:paraId="7D8A5BA8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место размещения CTA на сайте</w:t>
            </w:r>
          </w:p>
          <w:p w14:paraId="3FEB380A" w14:textId="77777777" w:rsidR="003E7342" w:rsidRPr="00020AE8" w:rsidRDefault="003E7342" w:rsidP="00020AE8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анализ сайта с помощью инструментов вебвизора одной из основных систем веб-аналитики</w:t>
            </w:r>
          </w:p>
          <w:p w14:paraId="5D782D5F" w14:textId="3DD1A2C9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AE8">
              <w:rPr>
                <w:rFonts w:ascii="Times New Roman" w:hAnsi="Times New Roman" w:cs="Times New Roman"/>
                <w:sz w:val="24"/>
                <w:szCs w:val="24"/>
              </w:rPr>
              <w:t>Провести UXD-анализ сайта, включая выводы и рекомендации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1751E" w14:textId="77777777" w:rsidR="003E7342" w:rsidRPr="00020AE8" w:rsidRDefault="003E7342" w:rsidP="00020AE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39"/>
        <w:gridCol w:w="1039"/>
        <w:gridCol w:w="1040"/>
        <w:gridCol w:w="1044"/>
        <w:gridCol w:w="2051"/>
      </w:tblGrid>
      <w:tr w:rsidR="004E785E" w:rsidRPr="00613219" w14:paraId="0A2AADAC" w14:textId="77777777" w:rsidTr="00544924">
        <w:trPr>
          <w:trHeight w:val="1538"/>
          <w:jc w:val="center"/>
        </w:trPr>
        <w:tc>
          <w:tcPr>
            <w:tcW w:w="4253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47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544924" w:rsidRPr="00613219" w14:paraId="6EDBED15" w14:textId="77777777" w:rsidTr="00544924">
        <w:trPr>
          <w:trHeight w:val="50"/>
          <w:jc w:val="center"/>
        </w:trPr>
        <w:tc>
          <w:tcPr>
            <w:tcW w:w="746" w:type="pct"/>
            <w:vMerge w:val="restart"/>
            <w:shd w:val="clear" w:color="auto" w:fill="92D050"/>
            <w:vAlign w:val="center"/>
          </w:tcPr>
          <w:p w14:paraId="22554985" w14:textId="0EDAD76E" w:rsidR="00544924" w:rsidRPr="00613219" w:rsidRDefault="0054492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3CF24956" w14:textId="77777777" w:rsidR="00544924" w:rsidRPr="00613219" w:rsidRDefault="0054492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3DA90DA" w14:textId="11265A4A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22F4030B" w14:textId="447655FE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6257C9D" w14:textId="6349D29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4554F0D0" w14:textId="77777777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5D19332A" w14:textId="66A74403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747" w:type="pct"/>
            <w:shd w:val="clear" w:color="auto" w:fill="00B050"/>
            <w:vAlign w:val="center"/>
          </w:tcPr>
          <w:p w14:paraId="089247DF" w14:textId="77777777" w:rsidR="00544924" w:rsidRPr="00613219" w:rsidRDefault="0054492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44924" w:rsidRPr="00613219" w14:paraId="61D77BE1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232BE1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E5703EC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678FB84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5DA46E3D" w14:textId="0F9D511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082615A5" w14:textId="213BA16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38191B9B" w14:textId="07AC27BE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0A63AAA5" w14:textId="727D5B6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712CE198" w14:textId="5E762D2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44924" w:rsidRPr="00613219" w14:paraId="4EB85C79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2B843BA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20AFA0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4E28147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ABB4702" w14:textId="72A542D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6D9FE905" w14:textId="4901FB6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ABB6818" w14:textId="6C15D15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5D8D8451" w14:textId="1C0BEDC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6E5BB194" w14:textId="6AAB8C49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4924" w:rsidRPr="00613219" w14:paraId="270858FE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1C06268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C8BD818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10AE1E7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1" w:type="pct"/>
            <w:vAlign w:val="center"/>
          </w:tcPr>
          <w:p w14:paraId="2FB413FD" w14:textId="6F097C3D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1" w:type="pct"/>
            <w:vAlign w:val="center"/>
          </w:tcPr>
          <w:p w14:paraId="2A6F8DAE" w14:textId="59F016F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149B0B9A" w14:textId="6AADD46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45802AE" w14:textId="29B94E2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5C37911" w14:textId="33C315E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44924" w:rsidRPr="00613219" w14:paraId="729DCFA9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4ADD9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124CBF9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1" w:type="pct"/>
            <w:vAlign w:val="center"/>
          </w:tcPr>
          <w:p w14:paraId="7BB1AD33" w14:textId="44F7070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6A4E8200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60DE24C5" w14:textId="7C6426BC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4535938D" w14:textId="76725C2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1" w:type="pct"/>
            <w:vAlign w:val="center"/>
          </w:tcPr>
          <w:p w14:paraId="119764A1" w14:textId="53D481FC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CA64B26" w14:textId="457D9BE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22BB9E7A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B3484F3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8DD302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1" w:type="pct"/>
            <w:vAlign w:val="center"/>
          </w:tcPr>
          <w:p w14:paraId="788DF647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792DEA04" w14:textId="36545C2E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71778EC4" w14:textId="5683D8C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1" w:type="pct"/>
            <w:vAlign w:val="center"/>
          </w:tcPr>
          <w:p w14:paraId="12ACE406" w14:textId="1B211A33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6199ECC4" w14:textId="1B626682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4A57BB5C" w14:textId="2FF9880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8D47C38" w14:textId="77777777" w:rsidTr="00A212C9">
        <w:trPr>
          <w:trHeight w:val="215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2BB70E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3E27921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  <w:p w14:paraId="3BE846A8" w14:textId="28207640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671" w:type="pct"/>
            <w:vAlign w:val="center"/>
          </w:tcPr>
          <w:p w14:paraId="58EB7FF5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5D98CD8B" w14:textId="29035A27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1" w:type="pct"/>
            <w:vAlign w:val="center"/>
          </w:tcPr>
          <w:p w14:paraId="4A122AC8" w14:textId="00A6443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360019F7" w14:textId="0594A93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02DB999C" w14:textId="332D2AC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CF75DC1" w14:textId="20619AD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A651F98" w14:textId="77777777" w:rsidTr="00544924">
        <w:trPr>
          <w:trHeight w:val="50"/>
          <w:jc w:val="center"/>
        </w:trPr>
        <w:tc>
          <w:tcPr>
            <w:tcW w:w="896" w:type="pct"/>
            <w:gridSpan w:val="2"/>
            <w:shd w:val="clear" w:color="auto" w:fill="00B050"/>
            <w:vAlign w:val="center"/>
          </w:tcPr>
          <w:p w14:paraId="031BF5E1" w14:textId="36D478B4" w:rsidR="00544924" w:rsidRPr="00613219" w:rsidRDefault="0054492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5328C02F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F54C3E5" w14:textId="29197915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1EC0780" w14:textId="62C40A6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46E89523" w14:textId="68ED490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2EBA648F" w14:textId="7BE9AAE8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498864D" w14:textId="36336B9A" w:rsidR="00544924" w:rsidRPr="00613219" w:rsidRDefault="0054492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F94B691" w:rsidR="00437D28" w:rsidRPr="004904C5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конкурентов. Анализ информационного пространства.</w:t>
            </w:r>
          </w:p>
        </w:tc>
        <w:tc>
          <w:tcPr>
            <w:tcW w:w="3149" w:type="pct"/>
            <w:shd w:val="clear" w:color="auto" w:fill="auto"/>
          </w:tcPr>
          <w:p w14:paraId="360B4BE2" w14:textId="2E80398D" w:rsidR="00437D28" w:rsidRPr="009D04EE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sz w:val="24"/>
                <w:szCs w:val="24"/>
              </w:rPr>
              <w:t>ТрК</w:t>
            </w:r>
            <w:r w:rsidR="00492A48">
              <w:rPr>
                <w:sz w:val="24"/>
                <w:szCs w:val="24"/>
              </w:rPr>
              <w:t xml:space="preserve">; </w:t>
            </w:r>
            <w:r w:rsidR="00492A48" w:rsidRPr="00492A48">
              <w:rPr>
                <w:sz w:val="24"/>
                <w:szCs w:val="24"/>
              </w:rPr>
              <w:t>ОВВ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DAF68B7" w:rsidR="00437D28" w:rsidRPr="004904C5" w:rsidRDefault="002F7AE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 проекта. </w:t>
            </w:r>
          </w:p>
        </w:tc>
        <w:tc>
          <w:tcPr>
            <w:tcW w:w="3149" w:type="pct"/>
            <w:shd w:val="clear" w:color="auto" w:fill="auto"/>
          </w:tcPr>
          <w:p w14:paraId="03F2F467" w14:textId="4E0408B0" w:rsidR="00437D28" w:rsidRPr="009D04EE" w:rsidRDefault="00492A4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D50E2DD" w:rsidR="00492A48" w:rsidRPr="004904C5" w:rsidRDefault="002F7AEA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b/>
                <w:sz w:val="24"/>
                <w:szCs w:val="24"/>
              </w:rPr>
              <w:t>Стратегия продвижения.</w:t>
            </w:r>
          </w:p>
        </w:tc>
        <w:tc>
          <w:tcPr>
            <w:tcW w:w="3149" w:type="pct"/>
            <w:shd w:val="clear" w:color="auto" w:fill="auto"/>
          </w:tcPr>
          <w:p w14:paraId="52821F30" w14:textId="0AC7FBEB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8D7F50F" w:rsidR="00492A48" w:rsidRPr="004904C5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Лендинг.</w:t>
            </w:r>
          </w:p>
        </w:tc>
        <w:tc>
          <w:tcPr>
            <w:tcW w:w="3149" w:type="pct"/>
            <w:shd w:val="clear" w:color="auto" w:fill="auto"/>
          </w:tcPr>
          <w:p w14:paraId="387950E5" w14:textId="78510F40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E51D912" w:rsidR="00492A48" w:rsidRPr="004904C5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Рекламные модули для социальных сетей, e-mail-рассылки, УТП.</w:t>
            </w:r>
          </w:p>
        </w:tc>
        <w:tc>
          <w:tcPr>
            <w:tcW w:w="3149" w:type="pct"/>
            <w:shd w:val="clear" w:color="auto" w:fill="auto"/>
          </w:tcPr>
          <w:p w14:paraId="5EF9B890" w14:textId="4E0D2EF5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</w:tbl>
    <w:p w14:paraId="6EBA8561" w14:textId="77777777" w:rsidR="00020AE8" w:rsidRDefault="00020AE8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C11F7" w14:textId="77777777" w:rsidR="00020AE8" w:rsidRDefault="00020AE8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CD01" w14:textId="77777777" w:rsidR="00020AE8" w:rsidRDefault="00020AE8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37BA2193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3CA20EA" w14:textId="28D7AF2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33516B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F821821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791D70" w:rsidRPr="00020AE8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 xml:space="preserve">(ссылка на ЯндексДиск с матрицей, заполненной в </w:t>
        </w:r>
        <w:r w:rsidR="00791D70" w:rsidRPr="00020AE8">
          <w:rPr>
            <w:rStyle w:val="ae"/>
            <w:rFonts w:ascii="Times New Roman" w:hAnsi="Times New Roman" w:cs="Times New Roman"/>
            <w:b/>
            <w:bCs/>
            <w:sz w:val="28"/>
            <w:szCs w:val="28"/>
            <w:lang w:val="en-US"/>
          </w:rPr>
          <w:t>Excel</w:t>
        </w:r>
        <w:r w:rsidR="00791D70" w:rsidRPr="00020AE8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)</w:t>
        </w:r>
      </w:hyperlink>
    </w:p>
    <w:p w14:paraId="2E5E60CA" w14:textId="66125C42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А, модуль Б, модуль 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Г, модуль 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77296C65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</w:t>
      </w:r>
      <w:r w:rsid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C5B">
        <w:rPr>
          <w:rFonts w:ascii="Times New Roman" w:eastAsia="Times New Roman" w:hAnsi="Times New Roman" w:cs="Times New Roman"/>
          <w:sz w:val="28"/>
          <w:szCs w:val="28"/>
        </w:rPr>
        <w:t>(РЧ, Отборочные соревнования, ФНЧ)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7809D91D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</w:t>
      </w:r>
      <w:r w:rsidR="007A5C5B" w:rsidRP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РЧ)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CDB3741" w14:textId="4245805F" w:rsidR="007C5065" w:rsidRDefault="007C506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вариативной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не выполняется, то время, отведенное на выполнение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модуля,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E8"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перераспределяется,</w:t>
      </w: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участники получают за этот модуль 0 баллов.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2285E" w14:textId="2AE38326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конкурентов. Анализ информационного пространства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65E8EAA8" w14:textId="390009BB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выполнения модуля 3,5 часа</w:t>
      </w:r>
    </w:p>
    <w:p w14:paraId="337F1B8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процессов в интернет-маркетинге. </w:t>
      </w:r>
    </w:p>
    <w:p w14:paraId="49FD25B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информационного пространства. </w:t>
      </w:r>
    </w:p>
    <w:p w14:paraId="2D6DC0A3" w14:textId="6E46725E" w:rsidR="00624799" w:rsidRPr="00624799" w:rsidRDefault="00D31C3F" w:rsidP="00D31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конкурентов.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аналитическую справку:</w:t>
      </w:r>
    </w:p>
    <w:p w14:paraId="6684032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Анализ присутствия темы ЛЕГЕНДЫ в информационном пространстве на основе данных из поисковых систем, включая:</w:t>
      </w:r>
    </w:p>
    <w:p w14:paraId="7179FC7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тегов для мониторинга в поисковых системах, социальных медиа в рамках поставленной темы;</w:t>
      </w:r>
    </w:p>
    <w:p w14:paraId="6FD7EA8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публикаций по выбранной теме в СМИ, социальных сетях, форумы, тематические сайты);</w:t>
      </w:r>
    </w:p>
    <w:p w14:paraId="494E046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групп и авторов в социальных сетях;</w:t>
      </w:r>
    </w:p>
    <w:p w14:paraId="510BD3E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и анализ высказываний блогеров и лидеров общественного мнения по заданной теме на основе данных из поисковых систем.</w:t>
      </w:r>
    </w:p>
    <w:p w14:paraId="4DCC779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Анализ аналогичных проектов:</w:t>
      </w:r>
    </w:p>
    <w:p w14:paraId="3814CAA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поисковых фраз для поиска интернет-ресурсов;</w:t>
      </w:r>
    </w:p>
    <w:p w14:paraId="10B01B2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интернет-площадок;</w:t>
      </w:r>
    </w:p>
    <w:p w14:paraId="4F0D710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Выводы и предложения</w:t>
      </w:r>
    </w:p>
    <w:p w14:paraId="51B590D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экспертная оценка полученной информации;</w:t>
      </w:r>
    </w:p>
    <w:p w14:paraId="2CB51CEA" w14:textId="09538B66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итогам проведенного анализа и оценки.</w:t>
      </w:r>
    </w:p>
    <w:p w14:paraId="49B7F0F5" w14:textId="2E316BC4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7A523" w14:textId="0EBCEFC5" w:rsidR="00624799" w:rsidRDefault="00624799" w:rsidP="00A378C2">
      <w:pPr>
        <w:tabs>
          <w:tab w:val="left" w:pos="226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378C2"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Целевая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аудитория проекта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30A3B24F" w14:textId="091A56F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время выполнения модуля 3,5 часа </w:t>
      </w:r>
    </w:p>
    <w:p w14:paraId="12FC493C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процессов в интернет-маркетинге. </w:t>
      </w:r>
    </w:p>
    <w:p w14:paraId="73922FA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BF87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целевой аудитории. </w:t>
      </w:r>
    </w:p>
    <w:p w14:paraId="33EB28D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Определить целевую аудиторию и выделить 3 сегмента целевой аудитории проекта.</w:t>
      </w:r>
    </w:p>
    <w:p w14:paraId="5F8B934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портрет типичного представителя каждого сегмента.</w:t>
      </w:r>
    </w:p>
    <w:p w14:paraId="089EFC3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презентацию для заказчика с рекомендации к посадочной странице по теме ЛЕГЕНДЫ:</w:t>
      </w:r>
    </w:p>
    <w:p w14:paraId="563DAA0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2 варианта специального предложения, сформулировать его в виде предложения посетителям сайта;</w:t>
      </w:r>
    </w:p>
    <w:p w14:paraId="16AFF023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предложить цветовое решение и обосновать его; </w:t>
      </w:r>
    </w:p>
    <w:p w14:paraId="769C274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рекомендации по навигации по странице; </w:t>
      </w:r>
    </w:p>
    <w:p w14:paraId="5F9BFAA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конверсионные элементы, указать место их размещения на странице;</w:t>
      </w:r>
    </w:p>
    <w:p w14:paraId="7DECB30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блоки, которые должны формировать страницу;</w:t>
      </w:r>
    </w:p>
    <w:p w14:paraId="484AA3F5" w14:textId="7AB4E74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 примерный вариант визуализации лендинга. </w:t>
      </w:r>
    </w:p>
    <w:p w14:paraId="7280D5B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0B100" w14:textId="306E7440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Стратегия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продвижения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53934337" w14:textId="5C28D719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выполнения модуля 3,5 часа (модуль выполняется без подключения к сети Internet)</w:t>
      </w:r>
    </w:p>
    <w:p w14:paraId="53867350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работы по привлечению трафика на площадки и конверсия его в целевые действия. </w:t>
      </w:r>
    </w:p>
    <w:p w14:paraId="4B616B3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стратегии продвижения.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Создать стратегию продвижения в социальных сетях, которая будет включать следующие разделы:</w:t>
      </w:r>
    </w:p>
    <w:p w14:paraId="735A41D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Концепция продвижения:</w:t>
      </w:r>
    </w:p>
    <w:p w14:paraId="689DC04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продвижения;</w:t>
      </w:r>
    </w:p>
    <w:p w14:paraId="06E673E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для достижения каждой цели;</w:t>
      </w:r>
    </w:p>
    <w:p w14:paraId="51F863E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 поведения аудитории, и чем можно на нее влиять;</w:t>
      </w:r>
    </w:p>
    <w:p w14:paraId="411D03E9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идея в контенте;</w:t>
      </w:r>
    </w:p>
    <w:p w14:paraId="112BD29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Рубрикатор;</w:t>
      </w:r>
    </w:p>
    <w:p w14:paraId="5939E51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Предоставить не менее 3 тем для каждой рубрики;</w:t>
      </w:r>
    </w:p>
    <w:p w14:paraId="1D17343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социальные сети для продвижения и обосновать их.</w:t>
      </w:r>
    </w:p>
    <w:p w14:paraId="1E3C1CE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Примеры:</w:t>
      </w:r>
    </w:p>
    <w:p w14:paraId="032D460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форматы постов и описать требования к ним;</w:t>
      </w:r>
    </w:p>
    <w:p w14:paraId="7AE41CE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примеры для ведения аккаунтов/сообществ в социальных сетях, в том числе стиль текста, дизайн и оформление.</w:t>
      </w:r>
    </w:p>
    <w:p w14:paraId="3499291E" w14:textId="1CAECBE2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контент-план на 2 недели (01.10-14.10), учитывая правила разработки таких планов.</w:t>
      </w:r>
    </w:p>
    <w:p w14:paraId="72CB296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EB0661" w14:textId="16C2B443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Лендинг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(вариатив)</w:t>
      </w:r>
    </w:p>
    <w:p w14:paraId="77015060" w14:textId="5B7C919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выполнение модуля 3,5 часа</w:t>
      </w:r>
    </w:p>
    <w:p w14:paraId="087576F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 на подключение и тесту zoom</w:t>
      </w:r>
    </w:p>
    <w:p w14:paraId="1D62114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 на презентацию заказчику</w:t>
      </w:r>
    </w:p>
    <w:p w14:paraId="25A2CF6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разработке продуктов.</w:t>
      </w:r>
    </w:p>
    <w:p w14:paraId="71FC5D6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лендинга. </w:t>
      </w:r>
    </w:p>
    <w:p w14:paraId="79989D0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заказчика.</w:t>
      </w:r>
    </w:p>
    <w:p w14:paraId="425C8A26" w14:textId="65177516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презентации.</w:t>
      </w:r>
    </w:p>
    <w:p w14:paraId="133F6DEE" w14:textId="4FF3AD33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Разработать лендинг на платформе flexbe;</w:t>
      </w:r>
    </w:p>
    <w:p w14:paraId="0368EC73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на лендинге главное целевое действие;</w:t>
      </w:r>
    </w:p>
    <w:p w14:paraId="6B43B8F6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Подкрепить главное целевое действие аргументами;</w:t>
      </w:r>
    </w:p>
    <w:p w14:paraId="201BB69F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на лендинге не менее 2-х дополнительных целевых действия.</w:t>
      </w:r>
    </w:p>
    <w:p w14:paraId="6239B1F9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презентацию для ЗАКАЗЧИКА (презентация должны включать в себя пакет инструментов для продвижения: стратегия, контент-план, ссылку на лендинг). </w:t>
      </w:r>
    </w:p>
    <w:p w14:paraId="5A6D90D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Защитить презентацию перед заказчиком.</w:t>
      </w:r>
    </w:p>
    <w:p w14:paraId="5A9CD86C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презентации в формате онлайн: подключение через zoom, регламент 5 мин. (запись конференции выгружается на рабочий стол).</w:t>
      </w:r>
    </w:p>
    <w:p w14:paraId="39B0DA12" w14:textId="13E53B83" w:rsidR="00624799" w:rsidRPr="00624799" w:rsidRDefault="00624799" w:rsidP="006247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AB93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BA1AD" w14:textId="560763B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3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AE8" w:rsidRP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Рекламные модули для социальных сетей, e-mail-рассылки, УТП</w:t>
      </w:r>
      <w:r w:rsidR="0002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(вариатив)</w:t>
      </w:r>
    </w:p>
    <w:p w14:paraId="409009D5" w14:textId="476C2CB3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выполнение модуля 4 часа</w:t>
      </w:r>
    </w:p>
    <w:p w14:paraId="70D61993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привлечению трафика на площадки и конверсия в целевые действия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Сформулировать 3 уникальных торговых предложения.</w:t>
      </w:r>
    </w:p>
    <w:p w14:paraId="60A01D8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Придумать 3 темы любых возможных рассылок в рамках легенды с максимальным на ваш взгляд Open Rate.</w:t>
      </w:r>
    </w:p>
    <w:p w14:paraId="7998B680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продающее письмо по теме «Лендинг» и отправить его на почту для сбора заданий.</w:t>
      </w:r>
    </w:p>
    <w:p w14:paraId="729E482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Создать не менее 3 рекламных модулей для соцсетей с 3 вариантами креатива каждый.</w:t>
      </w:r>
    </w:p>
    <w:p w14:paraId="3817D595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 УТП, темами рассылок, рекламными модулями оставить на рабочем столе.</w:t>
      </w:r>
    </w:p>
    <w:p w14:paraId="3CB89C1D" w14:textId="1829BA85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Продающее письмо отправить на e-mail: ХХХ</w:t>
      </w:r>
    </w:p>
    <w:p w14:paraId="1149CE58" w14:textId="5C4682BA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Тема письма: Модуль </w:t>
      </w:r>
      <w:r w:rsidR="001F6E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ФИО </w:t>
      </w:r>
    </w:p>
    <w:p w14:paraId="0B16ED35" w14:textId="77777777" w:rsidR="00020AE8" w:rsidRPr="008C41F7" w:rsidRDefault="00020AE8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3B24AA5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64381" w14:textId="1FB9BDC7" w:rsidR="003A233D" w:rsidRPr="003A233D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получают 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(Легенду)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14:paraId="6AD0F918" w14:textId="5A76B5CC" w:rsidR="00EA30C6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В кейсе прописывается вся необходимая информация о заказчике, цель обращения заказчика и другая дополнительная информация.</w:t>
      </w:r>
    </w:p>
    <w:p w14:paraId="0C430178" w14:textId="77777777" w:rsidR="003A233D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Участники сдают личные мобильные устройства Главному эксперту площадки. </w:t>
      </w:r>
    </w:p>
    <w:p w14:paraId="2866DE09" w14:textId="019C1B95" w:rsidR="003A233D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во время конкурса запрещены любые виды внешних коммуникаций, пользование любыми мессенджерами, использование сетевых папок.  </w:t>
      </w:r>
    </w:p>
    <w:p w14:paraId="2A602411" w14:textId="77777777" w:rsidR="00A378C2" w:rsidRDefault="003A233D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нарушивший правила коммуникаций во время работы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может быть отстранен от конкурса.</w:t>
      </w:r>
    </w:p>
    <w:p w14:paraId="468043B8" w14:textId="41A5F935" w:rsidR="003A233D" w:rsidRPr="003A233D" w:rsidRDefault="007B1A14" w:rsidP="00020A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Выполненный модуль сохраняется на носителе, определенном Главным экспертом и согласованным Менеджером компетенции.</w:t>
      </w:r>
    </w:p>
    <w:p w14:paraId="7AEE36D0" w14:textId="77777777" w:rsidR="003A233D" w:rsidRPr="00F3099C" w:rsidRDefault="003A233D" w:rsidP="003A23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020AE8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020AE8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020AE8">
        <w:rPr>
          <w:rFonts w:ascii="Times New Roman" w:hAnsi="Times New Roman"/>
          <w:color w:val="000000"/>
          <w:szCs w:val="28"/>
        </w:rPr>
        <w:t>.</w:t>
      </w:r>
      <w:r w:rsidRPr="00020AE8">
        <w:rPr>
          <w:rFonts w:ascii="Times New Roman" w:hAnsi="Times New Roman"/>
          <w:color w:val="000000"/>
          <w:szCs w:val="28"/>
        </w:rPr>
        <w:t>1</w:t>
      </w:r>
      <w:r w:rsidR="00FB022D" w:rsidRPr="00020AE8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020AE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580FD8AF" w14:textId="77777777" w:rsidR="00B27434" w:rsidRPr="00020AE8" w:rsidRDefault="00B27434" w:rsidP="00786827">
      <w:pPr>
        <w:pStyle w:val="3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4" w:name="_Toc78885660"/>
      <w:r w:rsidRPr="00020AE8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Конкурсанты используют только инструменты, предоставляемые площадкой.</w:t>
      </w:r>
    </w:p>
    <w:p w14:paraId="43B2F70F" w14:textId="77777777" w:rsidR="00B27434" w:rsidRDefault="00B27434" w:rsidP="00786827">
      <w:pPr>
        <w:pStyle w:val="3"/>
        <w:spacing w:line="276" w:lineRule="auto"/>
        <w:rPr>
          <w:rFonts w:ascii="Times New Roman" w:hAnsi="Times New Roman" w:cs="Times New Roman"/>
          <w:iCs/>
          <w:sz w:val="20"/>
          <w:szCs w:val="20"/>
          <w:lang w:val="ru-RU"/>
        </w:rPr>
      </w:pPr>
    </w:p>
    <w:p w14:paraId="112A6605" w14:textId="72F8892A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CD2DB8" w:rsidRPr="00020AE8" w14:paraId="37467075" w14:textId="77777777" w:rsidTr="00020AE8">
        <w:trPr>
          <w:trHeight w:val="315"/>
        </w:trPr>
        <w:tc>
          <w:tcPr>
            <w:tcW w:w="9340" w:type="dxa"/>
            <w:shd w:val="clear" w:color="auto" w:fill="auto"/>
            <w:vAlign w:val="center"/>
            <w:hideMark/>
          </w:tcPr>
          <w:p w14:paraId="75A815A6" w14:textId="77777777" w:rsidR="00CD2DB8" w:rsidRPr="00020AE8" w:rsidRDefault="00CD2DB8" w:rsidP="00020AE8">
            <w:pPr>
              <w:shd w:val="clear" w:color="000000" w:fill="auto"/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bookmarkStart w:id="15" w:name="_Toc124422973"/>
            <w:r w:rsidRPr="0002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Личные ноутбуки или переносные компьютеры.</w:t>
            </w:r>
          </w:p>
          <w:p w14:paraId="4C536B41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2DB8" w:rsidRPr="00020AE8" w14:paraId="70261AB2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24551C29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020AE8" w14:paraId="70C061E1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0DB1BA6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Электронные книги, записные книжки.</w:t>
            </w:r>
          </w:p>
        </w:tc>
      </w:tr>
      <w:tr w:rsidR="00CD2DB8" w:rsidRPr="00020AE8" w14:paraId="55BAD8C1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1F77E5E2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020AE8" w14:paraId="18F506B7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7C1A532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020AE8" w14:paraId="68929A9E" w14:textId="77777777" w:rsidTr="00020AE8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B0F649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020AE8" w14:paraId="2356C69F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B428E3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      </w:r>
          </w:p>
        </w:tc>
      </w:tr>
      <w:tr w:rsidR="00CD2DB8" w:rsidRPr="00020AE8" w14:paraId="71EFFA90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30E9827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Предварительно запрограммированные микросхемы.</w:t>
            </w:r>
          </w:p>
        </w:tc>
      </w:tr>
      <w:tr w:rsidR="00CD2DB8" w:rsidRPr="00020AE8" w14:paraId="3F3E2C5B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1E6C63D2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Покупные компоненты, модифицированные любым способом до начала демонстрационного экзамена.  </w:t>
            </w:r>
          </w:p>
        </w:tc>
      </w:tr>
      <w:tr w:rsidR="00CD2DB8" w:rsidRPr="00020AE8" w14:paraId="44B97EC5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4F387A52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Заранее выписанные рецепты.</w:t>
            </w:r>
          </w:p>
        </w:tc>
      </w:tr>
      <w:tr w:rsidR="00CD2DB8" w:rsidRPr="00020AE8" w14:paraId="2CF73BF2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1B412363" w14:textId="77777777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Оборудование аналогичное, или выполняющие аналогичные функции, что и поставленное организаторами. </w:t>
            </w:r>
          </w:p>
        </w:tc>
      </w:tr>
      <w:tr w:rsidR="00B27434" w:rsidRPr="00020AE8" w14:paraId="4A785AC9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65BE2402" w14:textId="1DFFA35C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нерегламентированные справочники и книги</w:t>
            </w:r>
          </w:p>
        </w:tc>
      </w:tr>
      <w:tr w:rsidR="00B27434" w:rsidRPr="00020AE8" w14:paraId="53F95F9F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2EC72B5" w14:textId="732AD4CA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аудио устройства, кроме оговоренных ИЛ</w:t>
            </w:r>
          </w:p>
        </w:tc>
      </w:tr>
      <w:tr w:rsidR="00B27434" w:rsidRPr="00020AE8" w14:paraId="62C579E7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0C84EEAF" w14:textId="4D323774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видео устройства, кроме оговоренных в ИЛ</w:t>
            </w:r>
          </w:p>
        </w:tc>
      </w:tr>
      <w:tr w:rsidR="00B27434" w:rsidRPr="00020AE8" w14:paraId="575652D2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54FF0B03" w14:textId="1A86308A" w:rsidR="00B27434" w:rsidRPr="00020AE8" w:rsidRDefault="00B27434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</w:rPr>
              <w:t>Любые переговорные устройства</w:t>
            </w:r>
          </w:p>
        </w:tc>
      </w:tr>
      <w:tr w:rsidR="00CD2DB8" w:rsidRPr="00020AE8" w14:paraId="0499F9A5" w14:textId="77777777" w:rsidTr="00020AE8">
        <w:trPr>
          <w:trHeight w:val="315"/>
        </w:trPr>
        <w:tc>
          <w:tcPr>
            <w:tcW w:w="9340" w:type="dxa"/>
            <w:shd w:val="clear" w:color="auto" w:fill="auto"/>
          </w:tcPr>
          <w:p w14:paraId="1F57C129" w14:textId="55255F3C" w:rsidR="00CD2DB8" w:rsidRPr="00020AE8" w:rsidRDefault="00CD2DB8" w:rsidP="00020A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В процессе</w:t>
            </w:r>
            <w:bookmarkStart w:id="16" w:name="_GoBack"/>
            <w:bookmarkEnd w:id="16"/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B27434"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выполнения модулей</w:t>
            </w:r>
            <w:r w:rsidRPr="00020AE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без разрешения главного эксперта не допускается удаление со своих мест в рабочей зоне никакого инструмента, оборудования, компонентов, руководств, чертежей или устройств хранения данных. </w:t>
            </w:r>
          </w:p>
        </w:tc>
      </w:tr>
    </w:tbl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0F56EEAE" w:rsidR="00945E13" w:rsidRPr="00A378C2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A378C2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A378C2">
        <w:rPr>
          <w:rFonts w:ascii="Times New Roman" w:hAnsi="Times New Roman" w:cs="Times New Roman"/>
          <w:sz w:val="28"/>
          <w:szCs w:val="28"/>
        </w:rPr>
        <w:t>Инструкция по заполнению матриц</w:t>
      </w:r>
      <w:r w:rsidR="00945E13" w:rsidRPr="00A378C2">
        <w:rPr>
          <w:rFonts w:ascii="Times New Roman" w:hAnsi="Times New Roman" w:cs="Times New Roman"/>
          <w:sz w:val="28"/>
          <w:szCs w:val="28"/>
        </w:rPr>
        <w:t>ы</w:t>
      </w:r>
      <w:r w:rsidR="00945E13" w:rsidRPr="00A378C2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5B05D5" w:rsidRPr="00A378C2">
        <w:rPr>
          <w:rFonts w:ascii="Times New Roman" w:hAnsi="Times New Roman" w:cs="Times New Roman"/>
          <w:sz w:val="28"/>
          <w:szCs w:val="28"/>
        </w:rPr>
        <w:t>ого</w:t>
      </w:r>
      <w:r w:rsidR="00945E13" w:rsidRPr="00A378C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378C2">
        <w:rPr>
          <w:rFonts w:ascii="Times New Roman" w:hAnsi="Times New Roman" w:cs="Times New Roman"/>
          <w:sz w:val="28"/>
          <w:szCs w:val="28"/>
        </w:rPr>
        <w:t>я</w:t>
      </w:r>
      <w:r w:rsidR="00210E80" w:rsidRPr="00A378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DB38" w14:textId="0B01135E" w:rsidR="00B37579" w:rsidRPr="00A378C2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C2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0" w:history="1">
        <w:r w:rsidR="00B37579" w:rsidRPr="00A378C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Матрица конкурсн</w:t>
        </w:r>
        <w:r w:rsidR="005B05D5" w:rsidRPr="00A378C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B37579" w:rsidRPr="00A378C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A378C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1211BF0E" w14:textId="48E17486" w:rsidR="00A27EE4" w:rsidRPr="00A378C2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C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378C2" w:rsidRPr="00A378C2">
        <w:rPr>
          <w:rFonts w:ascii="Times New Roman" w:hAnsi="Times New Roman" w:cs="Times New Roman"/>
          <w:sz w:val="28"/>
          <w:szCs w:val="28"/>
        </w:rPr>
        <w:t>3</w:t>
      </w:r>
      <w:r w:rsidR="007B3FD5" w:rsidRPr="00A378C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11569" w:rsidRPr="00A378C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охране труда и технике безопасности по компетенции «</w:t>
        </w:r>
        <w:r w:rsidR="002A3D90" w:rsidRPr="00A378C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Интернет-маркетинг</w:t>
        </w:r>
        <w:r w:rsidR="00A11569" w:rsidRPr="00A378C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2"/>
      <w:footerReference w:type="default" r:id="rId1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F2C6" w14:textId="77777777" w:rsidR="001A0D1C" w:rsidRDefault="001A0D1C" w:rsidP="00970F49">
      <w:pPr>
        <w:spacing w:after="0" w:line="240" w:lineRule="auto"/>
      </w:pPr>
      <w:r>
        <w:separator/>
      </w:r>
    </w:p>
  </w:endnote>
  <w:endnote w:type="continuationSeparator" w:id="0">
    <w:p w14:paraId="68F50142" w14:textId="77777777" w:rsidR="001A0D1C" w:rsidRDefault="001A0D1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1D066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378C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F63F" w14:textId="77777777" w:rsidR="001A0D1C" w:rsidRDefault="001A0D1C" w:rsidP="00970F49">
      <w:pPr>
        <w:spacing w:after="0" w:line="240" w:lineRule="auto"/>
      </w:pPr>
      <w:r>
        <w:separator/>
      </w:r>
    </w:p>
  </w:footnote>
  <w:footnote w:type="continuationSeparator" w:id="0">
    <w:p w14:paraId="0AE87C17" w14:textId="77777777" w:rsidR="001A0D1C" w:rsidRDefault="001A0D1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8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6"/>
  </w:num>
  <w:num w:numId="24">
    <w:abstractNumId w:val="9"/>
  </w:num>
  <w:num w:numId="25">
    <w:abstractNumId w:val="27"/>
  </w:num>
  <w:num w:numId="26">
    <w:abstractNumId w:val="6"/>
  </w:num>
  <w:num w:numId="27">
    <w:abstractNumId w:val="19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0AE8"/>
    <w:rsid w:val="00021CCE"/>
    <w:rsid w:val="000244DA"/>
    <w:rsid w:val="00024F7D"/>
    <w:rsid w:val="00041A78"/>
    <w:rsid w:val="00056CDE"/>
    <w:rsid w:val="000645A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11CC"/>
    <w:rsid w:val="0015561E"/>
    <w:rsid w:val="001627D5"/>
    <w:rsid w:val="0017612A"/>
    <w:rsid w:val="00183CB9"/>
    <w:rsid w:val="001A0D1C"/>
    <w:rsid w:val="001C63E7"/>
    <w:rsid w:val="001E1DF9"/>
    <w:rsid w:val="001F6E87"/>
    <w:rsid w:val="00210E80"/>
    <w:rsid w:val="00217A5F"/>
    <w:rsid w:val="00220E70"/>
    <w:rsid w:val="00237603"/>
    <w:rsid w:val="00270E01"/>
    <w:rsid w:val="002776A1"/>
    <w:rsid w:val="0029547E"/>
    <w:rsid w:val="002A3D90"/>
    <w:rsid w:val="002B1426"/>
    <w:rsid w:val="002B5B56"/>
    <w:rsid w:val="002C27B4"/>
    <w:rsid w:val="002F2906"/>
    <w:rsid w:val="002F7AEA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A233D"/>
    <w:rsid w:val="003C1D7A"/>
    <w:rsid w:val="003C5F97"/>
    <w:rsid w:val="003D1E51"/>
    <w:rsid w:val="003E7342"/>
    <w:rsid w:val="004254FE"/>
    <w:rsid w:val="00435E4D"/>
    <w:rsid w:val="00436FFC"/>
    <w:rsid w:val="00437D28"/>
    <w:rsid w:val="0044354A"/>
    <w:rsid w:val="00454353"/>
    <w:rsid w:val="00461AC6"/>
    <w:rsid w:val="0047429B"/>
    <w:rsid w:val="004904C5"/>
    <w:rsid w:val="004917C4"/>
    <w:rsid w:val="00492A48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4924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50C4"/>
    <w:rsid w:val="0062479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D88"/>
    <w:rsid w:val="0074372D"/>
    <w:rsid w:val="007604F9"/>
    <w:rsid w:val="00764773"/>
    <w:rsid w:val="007735DC"/>
    <w:rsid w:val="0078311A"/>
    <w:rsid w:val="00786827"/>
    <w:rsid w:val="00791D70"/>
    <w:rsid w:val="007A5C5B"/>
    <w:rsid w:val="007A61C5"/>
    <w:rsid w:val="007A6888"/>
    <w:rsid w:val="007B0DCC"/>
    <w:rsid w:val="007B1A14"/>
    <w:rsid w:val="007B2222"/>
    <w:rsid w:val="007B3FD5"/>
    <w:rsid w:val="007B7891"/>
    <w:rsid w:val="007C5065"/>
    <w:rsid w:val="007D3601"/>
    <w:rsid w:val="007D6C20"/>
    <w:rsid w:val="007E73B4"/>
    <w:rsid w:val="00812516"/>
    <w:rsid w:val="00832B6B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5E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029F"/>
    <w:rsid w:val="009F57C0"/>
    <w:rsid w:val="00A0510D"/>
    <w:rsid w:val="00A11569"/>
    <w:rsid w:val="00A204BB"/>
    <w:rsid w:val="00A20A67"/>
    <w:rsid w:val="00A212C9"/>
    <w:rsid w:val="00A24BD7"/>
    <w:rsid w:val="00A27EE4"/>
    <w:rsid w:val="00A378C2"/>
    <w:rsid w:val="00A53D9D"/>
    <w:rsid w:val="00A57976"/>
    <w:rsid w:val="00A61762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11AB"/>
    <w:rsid w:val="00AE6AB7"/>
    <w:rsid w:val="00AE7A32"/>
    <w:rsid w:val="00B01E6B"/>
    <w:rsid w:val="00B162B5"/>
    <w:rsid w:val="00B236AD"/>
    <w:rsid w:val="00B27434"/>
    <w:rsid w:val="00B30A26"/>
    <w:rsid w:val="00B37579"/>
    <w:rsid w:val="00B40FFB"/>
    <w:rsid w:val="00B4196F"/>
    <w:rsid w:val="00B45392"/>
    <w:rsid w:val="00B45AA4"/>
    <w:rsid w:val="00B610A2"/>
    <w:rsid w:val="00BA2CF0"/>
    <w:rsid w:val="00BB16BA"/>
    <w:rsid w:val="00BC3813"/>
    <w:rsid w:val="00BC7808"/>
    <w:rsid w:val="00BE099A"/>
    <w:rsid w:val="00C06EBC"/>
    <w:rsid w:val="00C0723F"/>
    <w:rsid w:val="00C17B01"/>
    <w:rsid w:val="00C21E3A"/>
    <w:rsid w:val="00C26C83"/>
    <w:rsid w:val="00C32642"/>
    <w:rsid w:val="00C42C09"/>
    <w:rsid w:val="00C52383"/>
    <w:rsid w:val="00C56A9B"/>
    <w:rsid w:val="00C740CF"/>
    <w:rsid w:val="00C820D9"/>
    <w:rsid w:val="00C8277D"/>
    <w:rsid w:val="00C95538"/>
    <w:rsid w:val="00C96567"/>
    <w:rsid w:val="00C97E44"/>
    <w:rsid w:val="00CA6CCD"/>
    <w:rsid w:val="00CC50B7"/>
    <w:rsid w:val="00CD2DB8"/>
    <w:rsid w:val="00CE0D4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C3F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71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73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zrG2Q5LDhkm94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5jxgIHTRGNkG0Q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1\Downloads\&#1052;&#1072;&#1090;&#1088;&#1080;&#1094;&#1072;_&#1048;&#1052;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E910-C36D-4599-8AE6-D0AED717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2024-12-19T10:56:00Z</dcterms:created>
  <dcterms:modified xsi:type="dcterms:W3CDTF">2024-12-19T10:56:00Z</dcterms:modified>
</cp:coreProperties>
</file>