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ОПИСАНИЕ КОМПЕТЕНЦИИ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</w:t>
      </w:r>
      <w:r>
        <w:rPr>
          <w:rFonts w:ascii="Times New Roman" w:hAnsi="Times New Roman" w:cs="Times New Roman"/>
          <w:sz w:val="72"/>
          <w:szCs w:val="72"/>
        </w:rPr>
        <w:t xml:space="preserve">Прототипирование</w:t>
      </w:r>
      <w:r>
        <w:rPr>
          <w:rFonts w:ascii="Times New Roman" w:hAnsi="Times New Roman" w:cs="Times New Roman"/>
          <w:sz w:val="72"/>
          <w:szCs w:val="72"/>
        </w:rPr>
        <w:t xml:space="preserve"> и обслуживание мобильных роботов</w:t>
      </w:r>
      <w:r>
        <w:rPr>
          <w:rFonts w:ascii="Times New Roman" w:hAnsi="Times New Roman" w:cs="Times New Roman"/>
          <w:sz w:val="72"/>
          <w:szCs w:val="72"/>
        </w:rPr>
        <w:t xml:space="preserve">»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Наименование компетенции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Прототипирование и обслуживание мобильных роботов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индивидуальный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851"/>
        <w:spacing w:after="0" w:line="36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Описание компетенции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Прототипирование </w:t>
      </w:r>
      <w:r>
        <w:rPr>
          <w:rFonts w:ascii="Times New Roman" w:hAnsi="Times New Roman" w:cs="Times New Roman"/>
          <w:sz w:val="28"/>
          <w:szCs w:val="28"/>
        </w:rPr>
        <w:t xml:space="preserve">и обслуживание мобильных роботов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современное направление инженерной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объединяющее проектирование, создание и обслуживание интеллектуальных мобильных систем. Специалисты в этой области обеспечивают разработку и эксплуатацию решений, применяемых в промышленности, сельском хозяйстве, медицине, аэрокосмической и други</w:t>
      </w:r>
      <w:r>
        <w:rPr>
          <w:rFonts w:ascii="Times New Roman" w:hAnsi="Times New Roman" w:cs="Times New Roman"/>
          <w:sz w:val="28"/>
          <w:szCs w:val="28"/>
        </w:rPr>
        <w:t xml:space="preserve">х отраслях.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инженера начинается с анализа задач, связанных с проектированием мобильных роботов, интеграцией их компонентов и дальнейшей эксплуатацией. Такие роботы часто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в условиях, недоступных или опасных для человека, а также для оптимизации процессов и повышения производительности. Например, в промышленности проектируются системы для автоматизации производства, а в здравоохранении роботы обслуживают пациен</w:t>
      </w:r>
      <w:r>
        <w:rPr>
          <w:rFonts w:ascii="Times New Roman" w:hAnsi="Times New Roman" w:cs="Times New Roman"/>
          <w:sz w:val="28"/>
          <w:szCs w:val="28"/>
        </w:rPr>
        <w:t xml:space="preserve">тов или доставляют медикаменты.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 на специалистов, способных не только п</w:t>
      </w:r>
      <w:r>
        <w:rPr>
          <w:rFonts w:ascii="Times New Roman" w:hAnsi="Times New Roman" w:cs="Times New Roman"/>
          <w:sz w:val="28"/>
          <w:szCs w:val="28"/>
        </w:rPr>
        <w:t xml:space="preserve">роектировать, но и обеспечивать техническое обслуживание мобильных роботов, постоянно растет. Важными аспектами этой профессии являются диагностика, устранение неисправностей, обновление компонентов, настройка программного обеспечения и аппаратных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Робототехники могут работать: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17"/>
        <w:numPr>
          <w:ilvl w:val="0"/>
          <w:numId w:val="14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компаниях, занимающихся проектированием и производством робототехнических систем;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4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сервисных центрах по техническому обслуживанию мобильных роботов;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4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научно-исследовательских учреждениях, разрабатывающих роботизированные решения для различных отраслей.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4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стартапах, ориентированных на инновации в области робототехники.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обязанности инженера-программиста-робототехника: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numPr>
          <w:ilvl w:val="0"/>
          <w:numId w:val="17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конструктивных решений для мобильных роботов, включая механическую, электронную и программную части;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7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алгоритмов управления, навигации и взаимодействия с окружающей средой;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7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 и отладка робототехнических систем;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7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технического обслуживания роботов, включая диагностику, ремонт и замену узлов;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7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документации для эксплуатации и ремонта;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7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пользователей, проведение консультаций по настройке и работе с мобильными роботами.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инженера по проектированию и обслуживанию мобильных роботов могут использоваться следующие технологии: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Системы управления движением и навигацией</w:t>
      </w:r>
      <w:r>
        <w:rPr>
          <w:rFonts w:ascii="Times New Roman" w:hAnsi="Times New Roman" w:cs="Times New Roman"/>
          <w:sz w:val="28"/>
          <w:szCs w:val="28"/>
        </w:rPr>
        <w:t xml:space="preserve">: разработка и настройка алгоритмов на основе GPS, SLAM и VSLAM для точного определения местоположения робота и построения маршрутов.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Моделирование и проектирование компонентов</w:t>
      </w:r>
      <w:r>
        <w:rPr>
          <w:rFonts w:ascii="Times New Roman" w:hAnsi="Times New Roman" w:cs="Times New Roman"/>
          <w:sz w:val="28"/>
          <w:szCs w:val="28"/>
        </w:rPr>
        <w:t xml:space="preserve">: использование CAD-систем для создания чертежей и 3D-моделей узлов и деталей мобильных роботов.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и обслуживание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: применение специализированных программных и аппаратных средств для проверки состояния роботов, выявления неисправностей и их устранения.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робототехнических систем</w:t>
      </w:r>
      <w:r>
        <w:rPr>
          <w:rFonts w:ascii="Times New Roman" w:hAnsi="Times New Roman" w:cs="Times New Roman"/>
          <w:sz w:val="28"/>
          <w:szCs w:val="28"/>
        </w:rPr>
        <w:t xml:space="preserve">: объединение датчиков, исполнительных механизмов и программного обеспечения для обеспечения слаженной работы робота в различных условиях.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Системы автоматизированного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: настройка и программирование микроконтроллеров, датчиков и систем управления для обеспечения точной работы робота.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 мониторинга состояния</w:t>
      </w:r>
      <w:r>
        <w:rPr>
          <w:rFonts w:ascii="Times New Roman" w:hAnsi="Times New Roman" w:cs="Times New Roman"/>
          <w:sz w:val="28"/>
          <w:szCs w:val="28"/>
        </w:rPr>
        <w:t xml:space="preserve">: использование сенсоров и диагностических инструментов для отслеживания технического состояния робота и прогнозирования поломок.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Мобильные роботы, спроектированные и обслуживаемые та</w:t>
      </w:r>
      <w:r>
        <w:rPr>
          <w:rFonts w:ascii="Times New Roman" w:hAnsi="Times New Roman" w:cs="Times New Roman"/>
          <w:sz w:val="28"/>
          <w:szCs w:val="28"/>
        </w:rPr>
        <w:t xml:space="preserve">кими специалистами, широко применяются в производстве, сельском хозяйстве, логистике, медицине и других сферах. Инженер по проектированию и обслуживанию играет ключевую роль в обеспечении надежности, эффективности и долговечности робототехнических решений.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keepNext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Нормативные правовые акты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717"/>
        <w:numPr>
          <w:ilvl w:val="0"/>
          <w:numId w:val="13"/>
        </w:numPr>
        <w:ind w:left="0" w:firstLine="851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ФГОС СПО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7"/>
        <w:numPr>
          <w:ilvl w:val="0"/>
          <w:numId w:val="12"/>
        </w:numPr>
        <w:ind w:left="0" w:firstLine="851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15.02.10 Мехатроника и мобильная робототехника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утверждён 9 декабря 2016 г. №1550 приказом 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2"/>
        </w:numPr>
        <w:ind w:left="0" w:firstLine="851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09.02.08 Интеллектуальные интегрированные системы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утверждён 12.12.2022 № 1095 приказом Министерства просвещения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2"/>
        </w:numPr>
        <w:ind w:left="0" w:firstLine="851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09.02.01 Компьютерные системы и комплексы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утверждён 28.07.2014 № 849 приказом Министерства образования и науки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2"/>
        </w:numPr>
        <w:ind w:left="0" w:firstLine="851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</w:t>
      </w:r>
      <w:r>
        <w:rPr>
          <w:rFonts w:ascii="Times New Roman" w:hAnsi="Times New Roman"/>
          <w:sz w:val="28"/>
          <w:szCs w:val="28"/>
        </w:rPr>
        <w:t xml:space="preserve">образовательный стандарт «</w:t>
      </w:r>
      <w:r>
        <w:rPr>
          <w:rFonts w:ascii="Times New Roman" w:hAnsi="Times New Roman"/>
          <w:sz w:val="28"/>
          <w:szCs w:val="28"/>
        </w:rPr>
        <w:t xml:space="preserve">15.02.11 Техническая эксплуатация и обслуживание роботизированного </w:t>
      </w:r>
      <w:r>
        <w:rPr>
          <w:rFonts w:ascii="Times New Roman" w:hAnsi="Times New Roman"/>
          <w:sz w:val="28"/>
          <w:szCs w:val="28"/>
        </w:rPr>
        <w:t xml:space="preserve">производства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утверждён </w:t>
      </w:r>
      <w:r>
        <w:rPr>
          <w:rFonts w:ascii="Times New Roman" w:hAnsi="Times New Roman"/>
          <w:sz w:val="28"/>
          <w:szCs w:val="28"/>
        </w:rPr>
        <w:t xml:space="preserve">9 декабря 2016 г. № 1575 </w:t>
      </w: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12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«09.02.08 Интеллектуальные интегрированные системы» утверждён 12 декабря 2022 г. № 1095 приказом Министерства образования и науки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ind w:left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717"/>
        <w:numPr>
          <w:ilvl w:val="0"/>
          <w:numId w:val="13"/>
        </w:numPr>
        <w:ind w:left="0" w:firstLine="851"/>
        <w:jc w:val="both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Профессиональный стандарт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ст</w:t>
      </w:r>
      <w:r>
        <w:rPr>
          <w:rFonts w:ascii="Times New Roman" w:hAnsi="Times New Roman" w:cs="Times New Roman"/>
          <w:sz w:val="28"/>
          <w:szCs w:val="28"/>
        </w:rPr>
        <w:t xml:space="preserve">андарт «</w:t>
      </w:r>
      <w:r>
        <w:rPr>
          <w:rFonts w:ascii="Times New Roman" w:hAnsi="Times New Roman" w:cs="Times New Roman"/>
          <w:sz w:val="28"/>
          <w:szCs w:val="28"/>
        </w:rPr>
        <w:t xml:space="preserve">40.138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ператор мобильной робототехники»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3 марта 2016 г. № 84н (зарегистрирован Министерством юстиции Российской Федерации 18 марта 2016 г., регистрационный № 41446)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стандарт «29.003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проектированию детской и образовательной робототехники», утверждённый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</w:t>
      </w:r>
      <w:r>
        <w:rPr>
          <w:rFonts w:ascii="Times New Roman" w:hAnsi="Times New Roman" w:cs="Times New Roman"/>
          <w:sz w:val="28"/>
          <w:szCs w:val="28"/>
        </w:rPr>
        <w:t xml:space="preserve"> 2016 г. 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н (зарегистрирован Министерством юстиции Российской Федерации 5 февраля 2016 г., регистрационный № 40956).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717"/>
        <w:numPr>
          <w:ilvl w:val="0"/>
          <w:numId w:val="13"/>
        </w:numPr>
        <w:ind w:left="0" w:firstLine="851"/>
        <w:jc w:val="both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ЕТКС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Наладчик</w:t>
      </w:r>
      <w:r>
        <w:rPr>
          <w:rFonts w:ascii="Times New Roman" w:hAnsi="Times New Roman" w:cs="Times New Roman"/>
          <w:sz w:val="28"/>
          <w:szCs w:val="28"/>
        </w:rPr>
        <w:t xml:space="preserve">-монтажник испытательного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от 21.01.2000 N 5 (ред. от 12.09.2001) утвержден постановлением Минтруда РФ.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Наладчик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от 21.01.2000 N 5 (ред. от 12.09.2001) утвержден постановлением Минтруда РФ.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Наладчик контрольно-измерительных приборов и автоматики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от 15.11.1999 N 45 утвержден постановлением Минтруда РФ.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ind w:firstLine="851"/>
        <w:jc w:val="both"/>
        <w:spacing w:before="0" w:line="36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Электромеханик по ремонту и обслуживанию счетно-вычислительных машин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Утвержден Постановлением Минтруда РФ от 15.11.1999 N 45(в редакции Приказа Минздравсоцразвития РФ от 13.11.2008 N 645)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712"/>
        <w:ind w:firstLine="851"/>
        <w:jc w:val="both"/>
        <w:spacing w:before="0" w:line="36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Электромеханик по средствам автоматики и приборам технологического оборудования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Утвержден Постановлением Минтруда РФ от 15.11.1999 N 45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(в редакции Приказа Минздравсоцразвития РФ от 13.11.2008 N 645)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717"/>
        <w:numPr>
          <w:ilvl w:val="0"/>
          <w:numId w:val="13"/>
        </w:numPr>
        <w:ind w:left="0" w:firstLine="851"/>
        <w:jc w:val="both"/>
        <w:spacing w:after="0" w:line="360" w:lineRule="auto"/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ГОСТы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hyperlink r:id="rId10" w:tooltip="https://gost2014.ru/D/Gost_dokumentatsii-na-razrabotku-programmnogo-obespecheniya/15026-2002_77936.gost" w:history="1">
        <w:r>
          <w:rPr>
            <w:rFonts w:ascii="Times New Roman" w:hAnsi="Times New Roman" w:cs="Times New Roman"/>
            <w:sz w:val="28"/>
            <w:szCs w:val="28"/>
          </w:rPr>
          <w:t xml:space="preserve">ГОСТ Р ИСО/МЭК 15026-2002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Информационная технология. Уровни целостности систем и программных средств</w:t>
      </w:r>
      <w:r>
        <w:rPr>
          <w:rFonts w:ascii="Times New Roman" w:hAnsi="Times New Roman" w:cs="Times New Roman"/>
          <w:sz w:val="28"/>
          <w:szCs w:val="28"/>
        </w:rPr>
        <w:t xml:space="preserve"> (подготовлен ВНИИстандарт,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Госстандарта России от 11 июня 2002 г. N 237-ст);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27.002-89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Надежность в технике. Основные понятия. Термины и определения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(подготовлен ОАО "НИЦ КД",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по техническому регулированию и метрологии от 27 декабря 2007 г. N 571-ст);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ГОСТ Р 60.6.3.1-2019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Методы испытаний сервисных мобильных роботов для работы в экстремальных условиях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по техническому регулированию и метрологии от 6 июня 2019 г. N 284-ст);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ГОСТ Р 60.6.0.1-2021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Сервисные мобильные роботы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по техническому регулированию и метрологии от 20 мая 2021 г. N 407-ст);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ГОСТ Р 60.0.0.4-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2019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Термины и определения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(подготовлен ЦНИИ РТК, утвержден и введен в </w:t>
      </w:r>
      <w:r>
        <w:rPr>
          <w:rFonts w:ascii="Times New Roman" w:hAnsi="Times New Roman" w:cs="Times New Roman"/>
          <w:sz w:val="28"/>
          <w:szCs w:val="28"/>
        </w:rPr>
        <w:t xml:space="preserve">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по техническому регулированию и метрологии от 14 февраля 2019 г. N 31-ст);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Р 60.6.3.6-2019 «Роботы и робототехнические устройства. Методы испытаний роботов для работы в экстремальных условиях. Проходимость. Движение по поверхности с продольными неровностями»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приказом Федерального агентства по техническому регулированию и метрологии от 8 ноября 2019 г. N 1221-ст)</w:t>
      </w:r>
      <w:r>
        <w:rPr>
          <w:color w:val="000000" w:themeColor="text1"/>
          <w:spacing w:val="5"/>
          <w:sz w:val="28"/>
          <w:szCs w:val="28"/>
        </w:rPr>
        <w:t xml:space="preserve">;</w:t>
      </w:r>
      <w:r>
        <w:rPr>
          <w:color w:val="000000" w:themeColor="text1"/>
          <w:spacing w:val="5"/>
          <w:sz w:val="28"/>
          <w:szCs w:val="28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Р 60.6.3.7-2019 «Роботы и робототехнические устройства. Методы испытаний роботов для работы в экстремальных условиях. Проходимость. Движение по поверхности с поперечными неровностями»</w:t>
      </w:r>
      <w:r>
        <w:rPr>
          <w:sz w:val="28"/>
          <w:szCs w:val="28"/>
        </w:rPr>
        <w:t xml:space="preserve"> 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приказом Федерального агентства по техническому регулированию и метрологии от 8 ноября 2019 г. N 1224-ст)</w:t>
      </w:r>
      <w:r>
        <w:rPr>
          <w:color w:val="000000" w:themeColor="text1"/>
          <w:spacing w:val="5"/>
          <w:sz w:val="28"/>
          <w:szCs w:val="28"/>
        </w:rPr>
        <w:t xml:space="preserve">;</w:t>
      </w:r>
      <w:r>
        <w:rPr>
          <w:color w:val="000000" w:themeColor="text1"/>
          <w:spacing w:val="5"/>
          <w:sz w:val="28"/>
          <w:szCs w:val="28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Р 60.6.3.8-2019 «Роботы и робототехнические устройства. Методы испытаний роботов для работы в экстремальных условиях. Проходимость. Движение по поверхности со ступенчатыми неровностями»</w:t>
      </w:r>
      <w:r>
        <w:rPr>
          <w:sz w:val="28"/>
          <w:szCs w:val="28"/>
        </w:rPr>
        <w:t xml:space="preserve"> 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приказом Федерального агентства по техническому регулированию и метрологии от 8 ноября 2019 г. N 1217-ст)</w:t>
      </w:r>
      <w:r>
        <w:rPr>
          <w:color w:val="000000" w:themeColor="text1"/>
          <w:spacing w:val="5"/>
          <w:sz w:val="28"/>
          <w:szCs w:val="28"/>
        </w:rPr>
        <w:t xml:space="preserve">;</w:t>
      </w:r>
      <w:r>
        <w:rPr>
          <w:color w:val="000000" w:themeColor="text1"/>
          <w:spacing w:val="5"/>
          <w:sz w:val="28"/>
          <w:szCs w:val="28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Р 60.6.3.9-2019 «Роботы и робототехнические устройства. Методы испытаний роботов для работы в экстремальных условиях. Проходимость. Движение с поддерживаемой скоростью»</w:t>
      </w:r>
      <w:r>
        <w:rPr>
          <w:sz w:val="28"/>
          <w:szCs w:val="28"/>
        </w:rPr>
        <w:t xml:space="preserve"> 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приказом Федерального агентства по техническому регулированию и метрологии от 8 ноября 2019 г. N 1225-ст)</w:t>
      </w:r>
      <w:r>
        <w:rPr>
          <w:color w:val="000000" w:themeColor="text1"/>
          <w:spacing w:val="5"/>
          <w:sz w:val="28"/>
          <w:szCs w:val="28"/>
        </w:rPr>
        <w:t xml:space="preserve">;</w:t>
      </w:r>
      <w:r>
        <w:rPr>
          <w:color w:val="000000" w:themeColor="text1"/>
          <w:spacing w:val="5"/>
          <w:sz w:val="28"/>
          <w:szCs w:val="28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Р 60.6.3.10-2019 «Роботы и робототехнические устройства. Методы испытаний роботов для работы в экстремальных условиях. Проходимость. Движение с буксируемым объектом»</w:t>
      </w:r>
      <w:r>
        <w:rPr>
          <w:sz w:val="28"/>
          <w:szCs w:val="28"/>
        </w:rPr>
        <w:t xml:space="preserve"> 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приказом Федерального агентства по техническому регулированию и метрологии от 8 ноября 2019 г. N 1219-ст)</w:t>
      </w:r>
      <w:r>
        <w:rPr>
          <w:color w:val="000000" w:themeColor="text1"/>
          <w:spacing w:val="5"/>
          <w:sz w:val="28"/>
          <w:szCs w:val="28"/>
        </w:rPr>
        <w:t xml:space="preserve">;</w:t>
      </w:r>
      <w:r>
        <w:rPr>
          <w:color w:val="000000" w:themeColor="text1"/>
          <w:spacing w:val="5"/>
          <w:sz w:val="28"/>
          <w:szCs w:val="28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Р 60.6.3.11-2019 «Роботы и робототехнические устройства. Методы испытаний роботов для работы в экстремальных условиях. Взаимодействие человека с роботом при выполнении поисковых работ. Произвольные лабиринты на сложной местности»</w:t>
      </w:r>
      <w:r>
        <w:rPr>
          <w:sz w:val="28"/>
          <w:szCs w:val="28"/>
        </w:rPr>
        <w:t xml:space="preserve"> 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приказом Федерального агентства по техническому регулированию и метрологии от 8 ноября 2019 г. N 1220-ст)</w:t>
      </w:r>
      <w:r>
        <w:rPr>
          <w:color w:val="000000" w:themeColor="text1"/>
          <w:spacing w:val="5"/>
          <w:sz w:val="28"/>
          <w:szCs w:val="28"/>
        </w:rPr>
        <w:t xml:space="preserve">;</w:t>
      </w:r>
      <w:r>
        <w:rPr>
          <w:color w:val="000000" w:themeColor="text1"/>
          <w:spacing w:val="5"/>
          <w:sz w:val="28"/>
          <w:szCs w:val="28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Р 60.6.3.12-2019 «Роботы и робототехнические устройства. Методы испытаний роботов для работы в экстремальных условиях. Радиосвязь в зоне прямой видимости»</w:t>
      </w:r>
      <w:r>
        <w:rPr>
          <w:sz w:val="28"/>
          <w:szCs w:val="28"/>
        </w:rPr>
        <w:t xml:space="preserve"> 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приказом Федерального агентства по техническому регулированию и метрологии от 8 ноября 2019 г. N 1222-ст)</w:t>
      </w:r>
      <w:r>
        <w:rPr>
          <w:color w:val="000000" w:themeColor="text1"/>
          <w:spacing w:val="5"/>
          <w:sz w:val="28"/>
          <w:szCs w:val="28"/>
        </w:rPr>
        <w:t xml:space="preserve">;</w:t>
      </w:r>
      <w:r>
        <w:rPr>
          <w:color w:val="000000" w:themeColor="text1"/>
          <w:spacing w:val="5"/>
          <w:sz w:val="28"/>
          <w:szCs w:val="28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Р 60.6.3.13-2019 «Роботы и робототехнические устройства. Методы испытаний роботов для работы в экстремальных условиях. Радиос</w:t>
      </w:r>
      <w:r>
        <w:rPr>
          <w:color w:val="000000" w:themeColor="text1"/>
          <w:spacing w:val="5"/>
          <w:sz w:val="28"/>
          <w:szCs w:val="28"/>
        </w:rPr>
        <w:t xml:space="preserve">вязь вне зоны прямой видимости»</w:t>
      </w:r>
      <w:r>
        <w:rPr>
          <w:sz w:val="28"/>
          <w:szCs w:val="28"/>
        </w:rPr>
        <w:t xml:space="preserve"> (подготовлен ЦНИИ РТК, утвержден и введен в действие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приказом Федерального агентства по техническому регулированию и метрологии от 8 ноября 2019 г. N 1223-ст)</w:t>
      </w:r>
      <w:r>
        <w:rPr>
          <w:color w:val="000000" w:themeColor="text1"/>
          <w:spacing w:val="5"/>
          <w:sz w:val="28"/>
          <w:szCs w:val="28"/>
        </w:rPr>
        <w:t xml:space="preserve">;</w:t>
      </w:r>
      <w:r>
        <w:rPr>
          <w:color w:val="000000" w:themeColor="text1"/>
          <w:spacing w:val="5"/>
          <w:sz w:val="28"/>
          <w:szCs w:val="28"/>
        </w:rPr>
      </w:r>
    </w:p>
    <w:p>
      <w:pPr>
        <w:ind w:firstLine="851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ГОСТ Р 60.1.2.3-2021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Роботы и робототехнические устройства. Требования безопасности для роботов, работающих совместно с человеком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(подготовлен ИПМ им.М.В.Келдыша РАН и ФКИ МГУ имени М.В.Ломоносова, утвержден и введен в действие приказом Федерального агентства по техническому регулированию и метрологии от 13 августа 2021 г. N 714-ст);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60.0.2.1-2016 </w:t>
      </w:r>
      <w:r>
        <w:rPr>
          <w:color w:val="000000" w:themeColor="text1"/>
          <w:spacing w:val="5"/>
          <w:sz w:val="28"/>
          <w:szCs w:val="28"/>
        </w:rPr>
        <w:t xml:space="preserve">«</w:t>
      </w:r>
      <w:r>
        <w:rPr>
          <w:color w:val="000000" w:themeColor="text1"/>
          <w:spacing w:val="5"/>
          <w:sz w:val="28"/>
          <w:szCs w:val="28"/>
        </w:rPr>
        <w:t xml:space="preserve">Роботы и робототехнические устройства. Общие требования по безопасности</w:t>
      </w:r>
      <w:r>
        <w:rPr>
          <w:color w:val="000000" w:themeColor="text1"/>
          <w:spacing w:val="5"/>
          <w:sz w:val="28"/>
          <w:szCs w:val="28"/>
        </w:rPr>
        <w:t xml:space="preserve">»</w:t>
      </w:r>
      <w:r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Федерального агентства по техническому регулированию и метрологии от 29 ноября 2016 г. N 1843-ст);</w:t>
      </w:r>
      <w:r>
        <w:rPr>
          <w:color w:val="000000" w:themeColor="text1"/>
          <w:spacing w:val="5"/>
          <w:sz w:val="28"/>
          <w:szCs w:val="28"/>
        </w:rPr>
      </w:r>
    </w:p>
    <w:p>
      <w:pPr>
        <w:pStyle w:val="726"/>
        <w:ind w:firstLine="851"/>
        <w:jc w:val="both"/>
        <w:spacing w:before="0" w:beforeAutospacing="0" w:after="0" w:afterAutospacing="0" w:line="360" w:lineRule="auto"/>
        <w:shd w:val="clear" w:color="auto" w:fill="ffffff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ГОСТ Р 60.0.0.5-2019 </w:t>
      </w:r>
      <w:r>
        <w:rPr>
          <w:color w:val="000000" w:themeColor="text1"/>
          <w:spacing w:val="5"/>
          <w:sz w:val="28"/>
          <w:szCs w:val="28"/>
        </w:rPr>
        <w:t xml:space="preserve">«</w:t>
      </w:r>
      <w:r>
        <w:rPr>
          <w:color w:val="000000" w:themeColor="text1"/>
          <w:spacing w:val="5"/>
          <w:sz w:val="28"/>
          <w:szCs w:val="28"/>
        </w:rPr>
        <w:t xml:space="preserve">Роботы и робототехнические устройства. Мобильные роботы. Термины и определения</w:t>
      </w:r>
      <w:r>
        <w:rPr>
          <w:color w:val="000000" w:themeColor="text1"/>
          <w:spacing w:val="5"/>
          <w:sz w:val="28"/>
          <w:szCs w:val="28"/>
        </w:rPr>
        <w:t xml:space="preserve">»</w:t>
      </w:r>
      <w:r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</w:t>
      </w:r>
      <w:r>
        <w:rPr>
          <w:bCs/>
          <w:color w:val="000000" w:themeColor="text1"/>
          <w:sz w:val="28"/>
          <w:szCs w:val="28"/>
        </w:rPr>
        <w:t xml:space="preserve">Федерального агентства по техническому регулированию и метрологии от 17 октября 2019 г. N 1019-ст</w:t>
      </w:r>
      <w:r>
        <w:rPr>
          <w:bCs/>
          <w:color w:val="000000" w:themeColor="text1"/>
          <w:sz w:val="28"/>
          <w:szCs w:val="28"/>
        </w:rPr>
        <w:t xml:space="preserve">)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bCs/>
          <w:color w:val="000000" w:themeColor="text1"/>
          <w:sz w:val="28"/>
          <w:szCs w:val="28"/>
        </w:rPr>
      </w:r>
    </w:p>
    <w:p>
      <w:pPr>
        <w:pStyle w:val="717"/>
        <w:numPr>
          <w:ilvl w:val="0"/>
          <w:numId w:val="13"/>
        </w:numPr>
        <w:ind w:left="0" w:firstLine="851"/>
        <w:jc w:val="both"/>
        <w:spacing w:after="0" w:line="360" w:lineRule="auto"/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Санитарно-эпидемиологические правила по мобильной робототехнике могут варьироваться в зависимости от конкретной индустрии и локации. Но общими правилами для использования мобильных роботов в защите здоровья и безопасности можно считать следующее: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numPr>
          <w:ilvl w:val="0"/>
          <w:numId w:val="11"/>
        </w:numPr>
        <w:ind w:left="0" w:firstLine="851"/>
        <w:jc w:val="both"/>
        <w:spacing w:after="0" w:line="36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роботы должны быть спроектированы, построены и поддерживаться с учетом санитарных норм и правил;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numPr>
          <w:ilvl w:val="0"/>
          <w:numId w:val="11"/>
        </w:numPr>
        <w:ind w:left="0" w:firstLine="851"/>
        <w:jc w:val="both"/>
        <w:spacing w:after="0" w:line="36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роботы должны быть проходить регулярные проверки и обслуживание, чтобы соответствовать санитарным стандартам;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numPr>
          <w:ilvl w:val="0"/>
          <w:numId w:val="11"/>
        </w:numPr>
        <w:ind w:left="0" w:firstLine="851"/>
        <w:jc w:val="both"/>
        <w:spacing w:after="0" w:line="36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роботы должны быть оборудованы системами детектирования и удаления загрязнений и бактерий и очищаться перед использованием;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numPr>
          <w:ilvl w:val="0"/>
          <w:numId w:val="11"/>
        </w:numPr>
        <w:ind w:left="0" w:firstLine="851"/>
        <w:jc w:val="both"/>
        <w:spacing w:after="0" w:line="36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роботы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должны быть использованы только в заданных системах или заранее спроектированных средах.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Style w:val="729"/>
          <w:color w:val="000000" w:themeColor="text1"/>
        </w:rPr>
      </w:pPr>
      <w:r>
        <w:rPr>
          <w:rStyle w:val="729"/>
          <w:color w:val="000000" w:themeColor="text1"/>
        </w:rPr>
        <w:t xml:space="preserve">СанПиН 2.2.4-548-96 «Гигиенические требования к микроклимату</w:t>
      </w:r>
      <w:r>
        <w:rPr>
          <w:color w:val="000000" w:themeColor="text1"/>
          <w:sz w:val="28"/>
          <w:szCs w:val="28"/>
        </w:rPr>
        <w:br/>
      </w:r>
      <w:r>
        <w:rPr>
          <w:rStyle w:val="729"/>
          <w:color w:val="000000" w:themeColor="text1"/>
        </w:rPr>
        <w:t xml:space="preserve">производственных помещений»</w:t>
      </w:r>
      <w:r>
        <w:rPr>
          <w:rStyle w:val="729"/>
          <w:color w:val="000000" w:themeColor="text1"/>
        </w:rPr>
        <w:t xml:space="preserve"> (разработан НИИ медицины труда РАМН, утвержден и введен в действие приказом Постановлением Госкомсанэпиднадзора России от 1 октября 1996 г., N 21).</w:t>
      </w:r>
      <w:r>
        <w:rPr>
          <w:rStyle w:val="729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Style w:val="729"/>
          <w:color w:val="000000" w:themeColor="text1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Перечень профессиональных задач специалиста по компетенции о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</w:rPr>
        <w:t xml:space="preserve">пределяется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>
        <w:tblPrEx/>
        <w:trPr/>
        <w:tc>
          <w:tcPr>
            <w:shd w:val="clear" w:color="auto" w:fill="92d050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92d050"/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Виды деятельности/трудовые функции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</w:tr>
      <w:tr>
        <w:tblPrEx/>
        <w:trPr>
          <w:trHeight w:val="569"/>
        </w:trPr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рабочей проектно-конструкторской и эксплуатационной документации изделий детской и образовательной робототехники в соответствии с требованиями нормативной документации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Введение в эксплуатацию навесного оборудования мобильного РТС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Подготовка управляющей программы для мобильного РТС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Техническое сопровождение разработки рабочей проектно-конструкторской и эксплуатационной документации узлов и изделий детской и образовательной робототехники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Calibri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Локализация аварийных ситуаций, возникающих при работе мобильного РТС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Calibri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96303619"/>
      <w:docPartObj>
        <w:docPartGallery w:val="Page Numbers (Bottom of Page)"/>
        <w:docPartUnique w:val="true"/>
      </w:docPartObj>
      <w:rPr/>
    </w:sdtPr>
    <w:sdtContent>
      <w:p>
        <w:pPr>
          <w:pStyle w:val="7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</w:sdtContent>
  </w:sdt>
  <w:p>
    <w:pPr>
      <w:pStyle w:val="7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160" w:hanging="108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3600" w:hanging="1440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5400" w:hanging="2160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6840" w:hanging="2520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8640" w:hanging="3240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080" w:hanging="3600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880" w:hanging="4320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320" w:hanging="4680"/>
      </w:pPr>
      <w:rPr>
        <w:rFonts w:hint="default"/>
        <w:sz w:val="28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 w:eastAsia="Calibri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1080"/>
      </w:pPr>
      <w:rPr>
        <w:rFonts w:hint="default" w:eastAsia="Calibri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1800"/>
      </w:pPr>
      <w:rPr>
        <w:rFonts w:hint="default" w:eastAsia="Calibri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2160"/>
      </w:pPr>
      <w:rPr>
        <w:rFonts w:hint="default" w:eastAsia="Calibri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2880"/>
      </w:pPr>
      <w:rPr>
        <w:rFonts w:hint="default" w:eastAsia="Calibri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3240"/>
      </w:pPr>
      <w:rPr>
        <w:rFonts w:hint="default" w:eastAsia="Calibri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3960"/>
      </w:pPr>
      <w:rPr>
        <w:rFonts w:hint="default" w:eastAsia="Calibri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4320"/>
      </w:pPr>
      <w:rPr>
        <w:rFonts w:hint="default" w:eastAsia="Calibri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5040"/>
      </w:pPr>
      <w:rPr>
        <w:rFonts w:hint="default" w:eastAsia="Calibri"/>
        <w:sz w:val="28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4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4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1"/>
    <w:uiPriority w:val="99"/>
  </w:style>
  <w:style w:type="table" w:styleId="48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4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4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2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13">
    <w:name w:val="Heading 2"/>
    <w:basedOn w:val="711"/>
    <w:link w:val="72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paragraph" w:styleId="717">
    <w:name w:val="List Paragraph"/>
    <w:basedOn w:val="711"/>
    <w:link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718" w:customStyle="1">
    <w:name w:val="List Paragraph Char"/>
    <w:basedOn w:val="714"/>
    <w:link w:val="717"/>
    <w:uiPriority w:val="34"/>
    <w:rPr>
      <w:rFonts w:ascii="Calibri" w:hAnsi="Calibri" w:eastAsia="Calibri" w:cs="Times New Roman"/>
    </w:rPr>
  </w:style>
  <w:style w:type="paragraph" w:styleId="719">
    <w:name w:val="Header"/>
    <w:basedOn w:val="711"/>
    <w:link w:val="7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0" w:customStyle="1">
    <w:name w:val="Header Char"/>
    <w:basedOn w:val="714"/>
    <w:link w:val="719"/>
    <w:uiPriority w:val="99"/>
  </w:style>
  <w:style w:type="paragraph" w:styleId="721">
    <w:name w:val="Footer"/>
    <w:basedOn w:val="711"/>
    <w:link w:val="7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basedOn w:val="714"/>
    <w:link w:val="721"/>
    <w:uiPriority w:val="99"/>
  </w:style>
  <w:style w:type="character" w:styleId="723">
    <w:name w:val="Emphasis"/>
    <w:basedOn w:val="714"/>
    <w:uiPriority w:val="20"/>
    <w:qFormat/>
    <w:rPr>
      <w:i/>
      <w:iCs/>
    </w:rPr>
  </w:style>
  <w:style w:type="character" w:styleId="724">
    <w:name w:val="Hyperlink"/>
    <w:basedOn w:val="714"/>
    <w:uiPriority w:val="99"/>
    <w:semiHidden/>
    <w:unhideWhenUsed/>
    <w:rPr>
      <w:color w:val="0000ff"/>
      <w:u w:val="single"/>
    </w:r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Normal (Web)"/>
    <w:basedOn w:val="7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7" w:customStyle="1">
    <w:name w:val="Heading 2 Char"/>
    <w:basedOn w:val="714"/>
    <w:link w:val="71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28" w:customStyle="1">
    <w:name w:val="Heading 1 Char"/>
    <w:basedOn w:val="714"/>
    <w:link w:val="71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729" w:customStyle="1">
    <w:name w:val="fontstyle01"/>
    <w:basedOn w:val="714"/>
    <w:rPr>
      <w:rFonts w:hint="default"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730">
    <w:name w:val="Balloon Text"/>
    <w:basedOn w:val="711"/>
    <w:link w:val="7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31" w:customStyle="1">
    <w:name w:val="Balloon Text Char"/>
    <w:basedOn w:val="714"/>
    <w:link w:val="73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gost2014.ru/D/Gost_dokumentatsii-na-razrabotku-programmnogo-obespecheniya/15026-2002_77936.g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Фанил Батыршин</cp:lastModifiedBy>
  <cp:revision>25</cp:revision>
  <dcterms:created xsi:type="dcterms:W3CDTF">2023-01-27T14:19:00Z</dcterms:created>
  <dcterms:modified xsi:type="dcterms:W3CDTF">2024-11-19T20:02:29Z</dcterms:modified>
</cp:coreProperties>
</file>